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A8" w:rsidRPr="009E6C29" w:rsidRDefault="004342A8" w:rsidP="006B602D">
      <w:pPr>
        <w:pStyle w:val="Normale1"/>
        <w:pBdr>
          <w:top w:val="single" w:sz="4" w:space="0" w:color="000000"/>
          <w:left w:val="single" w:sz="4" w:space="0" w:color="000000"/>
          <w:bottom w:val="single" w:sz="4" w:space="0" w:color="000000"/>
          <w:right w:val="single" w:sz="4" w:space="0" w:color="000000"/>
        </w:pBdr>
        <w:spacing w:line="276" w:lineRule="auto"/>
        <w:rPr>
          <w:rFonts w:ascii="Perpetua" w:eastAsia="Garamond" w:hAnsi="Perpetua"/>
          <w:b/>
          <w:bCs/>
        </w:rPr>
      </w:pPr>
    </w:p>
    <w:p w:rsidR="004342A8" w:rsidRPr="009E6C29" w:rsidRDefault="005E4085" w:rsidP="006B602D">
      <w:pPr>
        <w:pStyle w:val="Normale1"/>
        <w:pBdr>
          <w:top w:val="single" w:sz="4" w:space="0" w:color="000000"/>
          <w:left w:val="single" w:sz="4" w:space="0" w:color="000000"/>
          <w:bottom w:val="single" w:sz="4" w:space="0" w:color="000000"/>
          <w:right w:val="single" w:sz="4" w:space="0" w:color="000000"/>
        </w:pBdr>
        <w:spacing w:line="276" w:lineRule="auto"/>
        <w:jc w:val="center"/>
        <w:rPr>
          <w:rFonts w:ascii="Perpetua" w:hAnsi="Perpetua"/>
        </w:rPr>
      </w:pPr>
      <w:r w:rsidRPr="009E6C29">
        <w:rPr>
          <w:rStyle w:val="Nessuno"/>
          <w:rFonts w:ascii="Perpetua" w:eastAsia="Garamond" w:hAnsi="Perpetua"/>
          <w:b/>
          <w:bCs/>
        </w:rPr>
        <w:t>PRESIDENZA DEL CONSIGLIO DI AMMINISTRAZIONE</w:t>
      </w:r>
    </w:p>
    <w:p w:rsidR="004342A8" w:rsidRPr="009E6C29" w:rsidRDefault="004342A8" w:rsidP="006B602D">
      <w:pPr>
        <w:pStyle w:val="Normale1"/>
        <w:pBdr>
          <w:top w:val="single" w:sz="4" w:space="0" w:color="000000"/>
          <w:left w:val="single" w:sz="4" w:space="0" w:color="000000"/>
          <w:bottom w:val="single" w:sz="4" w:space="0" w:color="000000"/>
          <w:right w:val="single" w:sz="4" w:space="0" w:color="000000"/>
        </w:pBdr>
        <w:spacing w:line="276" w:lineRule="auto"/>
        <w:jc w:val="center"/>
        <w:rPr>
          <w:rFonts w:ascii="Perpetua" w:hAnsi="Perpetua"/>
          <w:i/>
          <w:iCs/>
          <w:u w:val="single" w:color="000000"/>
        </w:rPr>
      </w:pPr>
    </w:p>
    <w:p w:rsidR="004342A8" w:rsidRPr="009E6C29" w:rsidRDefault="005E4085" w:rsidP="006B602D">
      <w:pPr>
        <w:pStyle w:val="Normale1"/>
        <w:pBdr>
          <w:top w:val="single" w:sz="4" w:space="0" w:color="000000"/>
          <w:left w:val="single" w:sz="4" w:space="0" w:color="000000"/>
          <w:bottom w:val="single" w:sz="4" w:space="0" w:color="000000"/>
          <w:right w:val="single" w:sz="4" w:space="0" w:color="000000"/>
        </w:pBdr>
        <w:spacing w:line="276" w:lineRule="auto"/>
        <w:jc w:val="center"/>
        <w:rPr>
          <w:rFonts w:ascii="Perpetua" w:hAnsi="Perpetua"/>
        </w:rPr>
      </w:pPr>
      <w:r w:rsidRPr="009E6C29">
        <w:rPr>
          <w:rStyle w:val="Nessuno"/>
          <w:rFonts w:ascii="Perpetua" w:hAnsi="Perpetua"/>
          <w:i/>
          <w:iCs/>
          <w:u w:val="single"/>
        </w:rPr>
        <w:t>DETERMINAZIONE DEL PRESIDENTE</w:t>
      </w:r>
    </w:p>
    <w:p w:rsidR="004342A8" w:rsidRPr="009E6C29" w:rsidRDefault="004342A8" w:rsidP="006B602D">
      <w:pPr>
        <w:pStyle w:val="Normale1"/>
        <w:pBdr>
          <w:top w:val="single" w:sz="4" w:space="0" w:color="000000"/>
          <w:left w:val="single" w:sz="4" w:space="0" w:color="000000"/>
          <w:bottom w:val="single" w:sz="4" w:space="0" w:color="000000"/>
          <w:right w:val="single" w:sz="4" w:space="0" w:color="000000"/>
        </w:pBdr>
        <w:spacing w:line="276" w:lineRule="auto"/>
        <w:rPr>
          <w:rFonts w:ascii="Perpetua" w:eastAsia="Garamond" w:hAnsi="Perpetua"/>
        </w:rPr>
      </w:pPr>
    </w:p>
    <w:p w:rsidR="004342A8" w:rsidRPr="009E6C29" w:rsidRDefault="004342A8" w:rsidP="006B602D">
      <w:pPr>
        <w:jc w:val="both"/>
        <w:rPr>
          <w:rFonts w:ascii="Perpetua" w:hAnsi="Perpetua" w:cs="Times New Roman"/>
        </w:rPr>
      </w:pPr>
    </w:p>
    <w:tbl>
      <w:tblPr>
        <w:tblW w:w="5000" w:type="pct"/>
        <w:tblInd w:w="-5" w:type="dxa"/>
        <w:tblLayout w:type="fixed"/>
        <w:tblCellMar>
          <w:top w:w="55" w:type="dxa"/>
          <w:left w:w="55" w:type="dxa"/>
          <w:bottom w:w="55" w:type="dxa"/>
          <w:right w:w="55" w:type="dxa"/>
        </w:tblCellMar>
        <w:tblLook w:val="0000"/>
      </w:tblPr>
      <w:tblGrid>
        <w:gridCol w:w="9748"/>
      </w:tblGrid>
      <w:tr w:rsidR="004342A8" w:rsidRPr="009E6C29">
        <w:tc>
          <w:tcPr>
            <w:tcW w:w="9638" w:type="dxa"/>
            <w:tcBorders>
              <w:top w:val="single" w:sz="4" w:space="0" w:color="000000"/>
              <w:left w:val="single" w:sz="4" w:space="0" w:color="000000"/>
              <w:bottom w:val="single" w:sz="4" w:space="0" w:color="000000"/>
              <w:right w:val="single" w:sz="4" w:space="0" w:color="000000"/>
            </w:tcBorders>
          </w:tcPr>
          <w:p w:rsidR="004342A8" w:rsidRPr="009E6C29" w:rsidRDefault="005E4085" w:rsidP="006B602D">
            <w:pPr>
              <w:spacing w:line="276" w:lineRule="auto"/>
              <w:ind w:left="933" w:hanging="933"/>
              <w:jc w:val="both"/>
              <w:rPr>
                <w:rFonts w:ascii="Perpetua" w:hAnsi="Perpetua" w:cs="Times New Roman"/>
              </w:rPr>
            </w:pPr>
            <w:r w:rsidRPr="009E6C29">
              <w:rPr>
                <w:rFonts w:ascii="Perpetua" w:hAnsi="Perpetua" w:cs="Times New Roman"/>
              </w:rPr>
              <w:t xml:space="preserve">Oggetto: </w:t>
            </w:r>
            <w:r w:rsidR="00896114" w:rsidRPr="009E6C29">
              <w:rPr>
                <w:rFonts w:ascii="Perpetua" w:hAnsi="Perpetua" w:cs="Times New Roman"/>
              </w:rPr>
              <w:t xml:space="preserve">Aggiornamento </w:t>
            </w:r>
            <w:proofErr w:type="spellStart"/>
            <w:r w:rsidR="00896114" w:rsidRPr="009E6C29">
              <w:rPr>
                <w:rFonts w:ascii="Perpetua" w:hAnsi="Perpetua" w:cs="Times New Roman"/>
              </w:rPr>
              <w:t>delLa</w:t>
            </w:r>
            <w:proofErr w:type="spellEnd"/>
            <w:r w:rsidR="00896114" w:rsidRPr="009E6C29">
              <w:rPr>
                <w:rFonts w:ascii="Perpetua" w:hAnsi="Perpetua" w:cs="Times New Roman"/>
              </w:rPr>
              <w:t xml:space="preserve"> proposta tariffaria del biennio 2024/2025</w:t>
            </w:r>
            <w:r w:rsidR="00896114" w:rsidRPr="009E6C29">
              <w:rPr>
                <w:rFonts w:ascii="Perpetua" w:eastAsia="Times New Roman" w:hAnsi="Perpetua" w:cs="Times New Roman"/>
                <w:color w:val="000000"/>
              </w:rPr>
              <w:t xml:space="preserve"> del Comune di </w:t>
            </w:r>
            <w:r w:rsidR="00701D04">
              <w:rPr>
                <w:rFonts w:ascii="Perpetua" w:eastAsia="Times New Roman" w:hAnsi="Perpetua" w:cs="Times New Roman"/>
                <w:color w:val="000000"/>
              </w:rPr>
              <w:t>Terrasini</w:t>
            </w:r>
            <w:r w:rsidR="00896114" w:rsidRPr="009E6C29">
              <w:rPr>
                <w:rFonts w:ascii="Perpetua" w:hAnsi="Perpetua" w:cs="Times New Roman"/>
              </w:rPr>
              <w:t xml:space="preserve">. Validazione del </w:t>
            </w:r>
            <w:r w:rsidR="00896114" w:rsidRPr="009E6C29">
              <w:rPr>
                <w:rFonts w:ascii="Perpetua" w:eastAsia="Times New Roman" w:hAnsi="Perpetua" w:cs="Times New Roman"/>
                <w:color w:val="000000"/>
              </w:rPr>
              <w:t xml:space="preserve">Piano Economico Finanziario ai sensi della Deliberazione ARERA del 3 agosto 2021 n. 363/2021/R/Rif e della Deliberazione ARERA del 3 agosto 2023 n. 389/2023/R/Rif. </w:t>
            </w:r>
            <w:r w:rsidR="00896114" w:rsidRPr="009E6C29">
              <w:rPr>
                <w:rFonts w:ascii="Perpetua" w:eastAsia="Times New Roman" w:hAnsi="Perpetua" w:cs="Times New Roman"/>
                <w:b/>
                <w:bCs/>
                <w:color w:val="000000"/>
              </w:rPr>
              <w:t xml:space="preserve">Procedura di validazione ex art. 28 della Deliberazione ARERA n. 363/2021 secondo gli schemi tipo giusta </w:t>
            </w:r>
            <w:proofErr w:type="spellStart"/>
            <w:r w:rsidR="00896114" w:rsidRPr="009E6C29">
              <w:rPr>
                <w:rFonts w:ascii="Perpetua" w:eastAsia="Times New Roman" w:hAnsi="Perpetua" w:cs="Times New Roman"/>
                <w:b/>
                <w:bCs/>
                <w:color w:val="000000"/>
              </w:rPr>
              <w:t>Determinanzione</w:t>
            </w:r>
            <w:proofErr w:type="spellEnd"/>
            <w:r w:rsidR="00896114" w:rsidRPr="009E6C29">
              <w:rPr>
                <w:rFonts w:ascii="Perpetua" w:eastAsia="Times New Roman" w:hAnsi="Perpetua" w:cs="Times New Roman"/>
                <w:b/>
                <w:bCs/>
                <w:color w:val="000000"/>
              </w:rPr>
              <w:t xml:space="preserve"> ARERA n. 1/DTAC/2023 del 6 novembre 2023</w:t>
            </w:r>
            <w:r w:rsidR="00896114" w:rsidRPr="009E6C29">
              <w:rPr>
                <w:rFonts w:ascii="Perpetua" w:eastAsia="Times New Roman" w:hAnsi="Perpetua" w:cs="Times New Roman"/>
                <w:color w:val="000000"/>
              </w:rPr>
              <w:t xml:space="preserve"> </w:t>
            </w:r>
          </w:p>
        </w:tc>
      </w:tr>
    </w:tbl>
    <w:p w:rsidR="004342A8" w:rsidRPr="009E6C29" w:rsidRDefault="004342A8" w:rsidP="006B602D">
      <w:pPr>
        <w:spacing w:line="276" w:lineRule="auto"/>
        <w:jc w:val="both"/>
        <w:rPr>
          <w:rFonts w:ascii="Perpetua" w:hAnsi="Perpetua" w:cs="Times New Roman"/>
          <w:b/>
          <w:bCs/>
        </w:rPr>
      </w:pPr>
    </w:p>
    <w:p w:rsidR="00896114" w:rsidRPr="009E6C29" w:rsidRDefault="00896114" w:rsidP="006B602D">
      <w:pPr>
        <w:spacing w:line="276" w:lineRule="auto"/>
        <w:jc w:val="center"/>
        <w:rPr>
          <w:rFonts w:ascii="Perpetua" w:hAnsi="Perpetua" w:cs="Times New Roman"/>
          <w:b/>
          <w:bCs/>
        </w:rPr>
      </w:pPr>
    </w:p>
    <w:p w:rsidR="004342A8" w:rsidRPr="009E6C29" w:rsidRDefault="005E4085" w:rsidP="006B602D">
      <w:pPr>
        <w:spacing w:line="276" w:lineRule="auto"/>
        <w:jc w:val="center"/>
        <w:rPr>
          <w:rFonts w:ascii="Perpetua" w:hAnsi="Perpetua" w:cs="Times New Roman"/>
          <w:b/>
          <w:bCs/>
        </w:rPr>
      </w:pPr>
      <w:r w:rsidRPr="009E6C29">
        <w:rPr>
          <w:rFonts w:ascii="Perpetua" w:hAnsi="Perpetua" w:cs="Times New Roman"/>
          <w:b/>
          <w:bCs/>
        </w:rPr>
        <w:t xml:space="preserve">IL PRESIDENTE DEL </w:t>
      </w:r>
      <w:proofErr w:type="spellStart"/>
      <w:r w:rsidRPr="009E6C29">
        <w:rPr>
          <w:rFonts w:ascii="Perpetua" w:hAnsi="Perpetua" w:cs="Times New Roman"/>
          <w:b/>
          <w:bCs/>
        </w:rPr>
        <w:t>CdA</w:t>
      </w:r>
      <w:proofErr w:type="spellEnd"/>
    </w:p>
    <w:p w:rsidR="008302D1" w:rsidRPr="009E6C29" w:rsidRDefault="008302D1" w:rsidP="006B602D">
      <w:pPr>
        <w:spacing w:line="276" w:lineRule="auto"/>
        <w:jc w:val="both"/>
        <w:rPr>
          <w:rFonts w:ascii="Perpetua" w:hAnsi="Perpetua" w:cs="Times New Roman"/>
          <w:b/>
          <w:bCs/>
        </w:rPr>
      </w:pPr>
    </w:p>
    <w:p w:rsidR="004342A8" w:rsidRPr="009E6C29" w:rsidRDefault="005E4085" w:rsidP="004D724D">
      <w:pPr>
        <w:pStyle w:val="Normale1"/>
        <w:spacing w:line="360" w:lineRule="auto"/>
        <w:rPr>
          <w:rFonts w:ascii="Perpetua" w:hAnsi="Perpetua"/>
        </w:rPr>
      </w:pPr>
      <w:r w:rsidRPr="009E6C29">
        <w:rPr>
          <w:rStyle w:val="Nessuno"/>
          <w:rFonts w:ascii="Perpetua" w:hAnsi="Perpetua"/>
        </w:rPr>
        <w:t>nella persona del D</w:t>
      </w:r>
      <w:r w:rsidR="00A7138F" w:rsidRPr="009E6C29">
        <w:rPr>
          <w:rStyle w:val="Nessuno"/>
          <w:rFonts w:ascii="Perpetua" w:hAnsi="Perpetua"/>
        </w:rPr>
        <w:t>ott</w:t>
      </w:r>
      <w:r w:rsidRPr="009E6C29">
        <w:rPr>
          <w:rStyle w:val="Nessuno"/>
          <w:rFonts w:ascii="Perpetua" w:hAnsi="Perpetua"/>
        </w:rPr>
        <w:t>. Natale Tubiolo, adotta la seguente determina.</w:t>
      </w:r>
    </w:p>
    <w:p w:rsidR="004342A8" w:rsidRPr="009E6C29" w:rsidRDefault="005E4085" w:rsidP="004D724D">
      <w:pPr>
        <w:pStyle w:val="Normale1"/>
        <w:widowControl/>
        <w:suppressAutoHyphens w:val="0"/>
        <w:spacing w:line="360" w:lineRule="auto"/>
        <w:rPr>
          <w:rFonts w:ascii="Perpetua" w:hAnsi="Perpetua"/>
        </w:rPr>
      </w:pPr>
      <w:r w:rsidRPr="009E6C29">
        <w:rPr>
          <w:rStyle w:val="Nessuno"/>
          <w:rFonts w:ascii="Perpetua" w:hAnsi="Perpetua"/>
          <w:b/>
          <w:bCs/>
        </w:rPr>
        <w:t xml:space="preserve">Premesso </w:t>
      </w:r>
      <w:r w:rsidRPr="009E6C29">
        <w:rPr>
          <w:rStyle w:val="Nessuno"/>
          <w:rFonts w:ascii="Perpetua" w:hAnsi="Perpetua"/>
        </w:rPr>
        <w:t>che con deliberazione dell’Assemblea dei Soci di cui al verbale di adunanza nr. 6 del 07.09.2021, cui si rinvia, si è provveduto al rinnovo dell’organo amministrativo di vertice della SRR Palermo Area Metr</w:t>
      </w:r>
      <w:r w:rsidRPr="009E6C29">
        <w:rPr>
          <w:rStyle w:val="Nessuno"/>
          <w:rFonts w:ascii="Perpetua" w:hAnsi="Perpetua"/>
        </w:rPr>
        <w:t>o</w:t>
      </w:r>
      <w:r w:rsidRPr="009E6C29">
        <w:rPr>
          <w:rStyle w:val="Nessuno"/>
          <w:rFonts w:ascii="Perpetua" w:hAnsi="Perpetua"/>
        </w:rPr>
        <w:t xml:space="preserve">politana </w:t>
      </w:r>
      <w:proofErr w:type="spellStart"/>
      <w:r w:rsidRPr="009E6C29">
        <w:rPr>
          <w:rStyle w:val="Nessuno"/>
          <w:rFonts w:ascii="Perpetua" w:hAnsi="Perpetua"/>
        </w:rPr>
        <w:t>S.C.p.A.</w:t>
      </w:r>
      <w:proofErr w:type="spellEnd"/>
      <w:r w:rsidR="006F7DB1" w:rsidRPr="009E6C29">
        <w:rPr>
          <w:rStyle w:val="Nessuno"/>
          <w:rFonts w:ascii="Perpetua" w:hAnsi="Perpetua"/>
        </w:rPr>
        <w:t>,</w:t>
      </w:r>
      <w:r w:rsidRPr="009E6C29">
        <w:rPr>
          <w:rStyle w:val="Nessuno"/>
          <w:rFonts w:ascii="Perpetua" w:hAnsi="Perpetua"/>
        </w:rPr>
        <w:t xml:space="preserve"> e che al primo insediamento utile, giusta ulteriore deliberazione nr. 8 del 07.09.2021, il neo rinnovato Consiglio di Amministrazione dell’ente ha provveduto alla designazione del relativo Presidente, individuandolo nella persona del sottoscritto amministratore;</w:t>
      </w:r>
    </w:p>
    <w:p w:rsidR="004342A8" w:rsidRPr="009E6C29" w:rsidRDefault="005E4085" w:rsidP="004D724D">
      <w:pPr>
        <w:pStyle w:val="Normale1"/>
        <w:widowControl/>
        <w:suppressAutoHyphens w:val="0"/>
        <w:spacing w:line="360" w:lineRule="auto"/>
        <w:rPr>
          <w:rFonts w:ascii="Perpetua" w:hAnsi="Perpetua"/>
        </w:rPr>
      </w:pPr>
      <w:r w:rsidRPr="009E6C29">
        <w:rPr>
          <w:rStyle w:val="Nessuno"/>
          <w:rFonts w:ascii="Perpetua" w:hAnsi="Perpetua"/>
          <w:b/>
          <w:bCs/>
        </w:rPr>
        <w:t xml:space="preserve">Tenuto conto </w:t>
      </w:r>
      <w:r w:rsidRPr="009E6C29">
        <w:rPr>
          <w:rStyle w:val="Nessuno"/>
          <w:rFonts w:ascii="Perpetua" w:hAnsi="Perpetua"/>
        </w:rPr>
        <w:t xml:space="preserve">che lo Statuto societario, all’art. 19, prevede che il Consiglio di amministrazione dell’ente </w:t>
      </w:r>
      <w:r w:rsidRPr="009E6C29">
        <w:rPr>
          <w:rStyle w:val="Nessuno"/>
          <w:rFonts w:ascii="Perpetua" w:hAnsi="Perpetua"/>
        </w:rPr>
        <w:t>e</w:t>
      </w:r>
      <w:r w:rsidRPr="009E6C29">
        <w:rPr>
          <w:rStyle w:val="Nessuno"/>
          <w:rFonts w:ascii="Perpetua" w:hAnsi="Perpetua"/>
        </w:rPr>
        <w:t xml:space="preserve">sercita i poteri di ordinaria e straordinaria amministrazione, con la più ampia facoltà di compiere tutti gli atti che ritenga più opportuni per l'attuazione ed il raggiungimento degli scopi sociali, in conformità alle finalità di cui alla l.r. n. 9/2010 e sue </w:t>
      </w:r>
      <w:proofErr w:type="spellStart"/>
      <w:r w:rsidRPr="009E6C29">
        <w:rPr>
          <w:rStyle w:val="Nessuno"/>
          <w:rFonts w:ascii="Perpetua" w:hAnsi="Perpetua"/>
        </w:rPr>
        <w:t>ss.mm.ii.</w:t>
      </w:r>
      <w:proofErr w:type="spellEnd"/>
      <w:r w:rsidRPr="009E6C29">
        <w:rPr>
          <w:rStyle w:val="Nessuno"/>
          <w:rFonts w:ascii="Perpetua" w:hAnsi="Perpetua"/>
        </w:rPr>
        <w:t>;</w:t>
      </w:r>
    </w:p>
    <w:p w:rsidR="004342A8" w:rsidRPr="009E6C29" w:rsidRDefault="005E4085" w:rsidP="004D724D">
      <w:pPr>
        <w:spacing w:line="360" w:lineRule="auto"/>
        <w:jc w:val="both"/>
        <w:rPr>
          <w:rFonts w:ascii="Perpetua" w:hAnsi="Perpetua" w:cs="Times New Roman"/>
        </w:rPr>
      </w:pPr>
      <w:r w:rsidRPr="009E6C29">
        <w:rPr>
          <w:rFonts w:ascii="Perpetua" w:eastAsia="Arial Unicode MS" w:hAnsi="Perpetua" w:cs="Times New Roman"/>
          <w:b/>
          <w:bCs/>
          <w:color w:val="000000"/>
          <w:lang w:eastAsia="it-IT"/>
        </w:rPr>
        <w:t xml:space="preserve">Ravvisata, </w:t>
      </w:r>
      <w:r w:rsidRPr="009E6C29">
        <w:rPr>
          <w:rFonts w:ascii="Perpetua" w:eastAsia="Arial Unicode MS" w:hAnsi="Perpetua" w:cs="Times New Roman"/>
          <w:color w:val="000000"/>
          <w:lang w:eastAsia="it-IT"/>
        </w:rPr>
        <w:t>pertanto</w:t>
      </w:r>
      <w:r w:rsidRPr="009E6C29">
        <w:rPr>
          <w:rFonts w:ascii="Perpetua" w:eastAsia="Arial Unicode MS" w:hAnsi="Perpetua" w:cs="Times New Roman"/>
          <w:b/>
          <w:bCs/>
          <w:color w:val="000000"/>
          <w:lang w:eastAsia="it-IT"/>
        </w:rPr>
        <w:t xml:space="preserve">, </w:t>
      </w:r>
      <w:r w:rsidRPr="009E6C29">
        <w:rPr>
          <w:rFonts w:ascii="Perpetua" w:eastAsia="Arial Unicode MS" w:hAnsi="Perpetua" w:cs="Times New Roman"/>
          <w:color w:val="000000"/>
          <w:lang w:eastAsia="it-IT"/>
        </w:rPr>
        <w:t>la propria competenza in ordine all’adozione del presente provvedimento;</w:t>
      </w:r>
    </w:p>
    <w:p w:rsidR="00CE6381" w:rsidRPr="009E6C29" w:rsidRDefault="00CE6381" w:rsidP="004D724D">
      <w:pPr>
        <w:spacing w:line="360" w:lineRule="auto"/>
        <w:jc w:val="both"/>
        <w:rPr>
          <w:rFonts w:ascii="Perpetua" w:hAnsi="Perpetua" w:cs="Times New Roman"/>
        </w:rPr>
      </w:pPr>
      <w:r w:rsidRPr="009E6C29">
        <w:rPr>
          <w:rFonts w:ascii="Perpetua" w:hAnsi="Perpetua" w:cs="Times New Roman"/>
          <w:b/>
          <w:bCs/>
        </w:rPr>
        <w:t>V</w:t>
      </w:r>
      <w:r w:rsidR="006B602D" w:rsidRPr="009E6C29">
        <w:rPr>
          <w:rFonts w:ascii="Perpetua" w:hAnsi="Perpetua" w:cs="Times New Roman"/>
          <w:b/>
          <w:bCs/>
        </w:rPr>
        <w:t>isti</w:t>
      </w:r>
      <w:r w:rsidRPr="009E6C29">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direttiva (UE) 2018/850 del Parlamento europeo e del Consiglio del 30 maggio 2018, che modifica la direttiva 1999/31/CE, del 26 aprile 1999, relativa alle discariche di rifiuti;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direttiva (UE) 2018/851 del Parlamento europeo e del Consiglio del 30 maggio 2018, che modifica la direttiva 2008/98/CE relativa ai rifiuti;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direttiva (UE) 2018/852 del Parlamento europeo e del Consiglio del 30 maggio 2018, che modifica la direttiva 1994/62/CE sugli imballaggi e i rifiuti di imballaggio;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legge 14 novembre 1995, n. 481, come successivamente modificata e integrata, recante “Norme per la concorrenza e la regolazione dei servizi di pubblica utilità. Istituzione delle Autorità di regolazione dei servizi di pubblica utilità”;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lastRenderedPageBreak/>
        <w:t xml:space="preserve">• il decreto legislativo 18 agosto 2000, n. 267, recante </w:t>
      </w:r>
      <w:r w:rsidRPr="00DC3CF6">
        <w:rPr>
          <w:rFonts w:ascii="Perpetua" w:hAnsi="Perpetua" w:cs="Times New Roman"/>
          <w:i/>
          <w:iCs/>
        </w:rPr>
        <w:t>“Testo unico delle leggi sull’ordinamento degli enti locali”</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 legislativo 3 aprile 2006, n. 152, recante </w:t>
      </w:r>
      <w:r w:rsidRPr="00DC3CF6">
        <w:rPr>
          <w:rFonts w:ascii="Perpetua" w:hAnsi="Perpetua" w:cs="Times New Roman"/>
          <w:i/>
          <w:iCs/>
        </w:rPr>
        <w:t>“Norme in materia ambientale”</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legge 27 dicembre 2006, n. 296, recante </w:t>
      </w:r>
      <w:r w:rsidRPr="00DC3CF6">
        <w:rPr>
          <w:rFonts w:ascii="Perpetua" w:hAnsi="Perpetua" w:cs="Times New Roman"/>
          <w:i/>
          <w:iCs/>
        </w:rPr>
        <w:t>“Disposizioni per la formazione del bilancio annuale e pluriennale dello Stato (legge finanziaria 2007)”;</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decreto-legge 13 agosto 2011, n. 138, convertito in legge con modificazioni dall’art. 1, comma 1, della legge 14 settembre 2011, n. 148, recante </w:t>
      </w:r>
      <w:r w:rsidRPr="00DC3CF6">
        <w:rPr>
          <w:rFonts w:ascii="Perpetua" w:hAnsi="Perpetua" w:cs="Times New Roman"/>
          <w:i/>
          <w:iCs/>
        </w:rPr>
        <w:t>“Ulteriori misure urgenti per la stabilizzazione finanziaria e per lo sviluppo”</w:t>
      </w:r>
      <w:r w:rsidRPr="004D724D">
        <w:rPr>
          <w:rFonts w:ascii="Perpetua" w:hAnsi="Perpetua" w:cs="Times New Roman"/>
        </w:rPr>
        <w:t xml:space="preserve"> e, in particolare, l’articolo 3-bis; </w:t>
      </w:r>
    </w:p>
    <w:p w:rsidR="00CE6381" w:rsidRPr="004D724D" w:rsidRDefault="00CE6381" w:rsidP="004D724D">
      <w:pPr>
        <w:spacing w:line="360" w:lineRule="auto"/>
        <w:jc w:val="both"/>
        <w:rPr>
          <w:rFonts w:ascii="Perpetua" w:hAnsi="Perpetua" w:cs="Times New Roman"/>
          <w:b/>
          <w:bCs/>
        </w:rPr>
      </w:pPr>
      <w:r w:rsidRPr="004D724D">
        <w:rPr>
          <w:rFonts w:ascii="Perpetua" w:hAnsi="Perpetua" w:cs="Times New Roman"/>
        </w:rPr>
        <w:t xml:space="preserve">• il decreto legislativo 3 settembre 2020, n. 116, recante </w:t>
      </w:r>
      <w:r w:rsidRPr="00DC3CF6">
        <w:rPr>
          <w:rFonts w:ascii="Perpetua" w:hAnsi="Perpetua" w:cs="Times New Roman"/>
          <w:i/>
          <w:iCs/>
        </w:rPr>
        <w:t>“Attuazione della direttiva (UE) 2018/851 che modifica la direttiva 2008/98/CE relativa ai rifiuti e attuazione della direttiva (UE) 2018/852 che modifica la direttiva 1994/62/CE sugli imballaggi e i rifiuti di imballaggio”;</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 legislativo 3 settembre 2020, n. 121, recante </w:t>
      </w:r>
      <w:r w:rsidRPr="00DC3CF6">
        <w:rPr>
          <w:rFonts w:ascii="Perpetua" w:hAnsi="Perpetua" w:cs="Times New Roman"/>
          <w:i/>
          <w:iCs/>
        </w:rPr>
        <w:t>“Attuazione della direttiva (UE) 2018/850, che modifica la direttiva 1999/31/CE relativa alle discariche di rifiuti”;</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il decreto-legge 30 dicembre 2021, n. 228, convertito, con modificazioni, dalla legge 25 febbraio 2022, n. 15 e, in particolare, l’articolo 3, comma 5-</w:t>
      </w:r>
      <w:r w:rsidRPr="00A0556C">
        <w:rPr>
          <w:rFonts w:ascii="Perpetua" w:hAnsi="Perpetua" w:cs="Times New Roman"/>
          <w:i/>
          <w:iCs/>
        </w:rPr>
        <w:t>quinquies</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decreto-legge 17 maggio 2022, n. 50, convertito, con modificazioni, dalla legge 15 luglio 2022, n. 91 e, in particolare, l’articolo 43, comma 11;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 legislativo 23 dicembre 2022, n. 201, recante </w:t>
      </w:r>
      <w:r w:rsidRPr="00A0556C">
        <w:rPr>
          <w:rFonts w:ascii="Perpetua" w:hAnsi="Perpetua" w:cs="Times New Roman"/>
          <w:i/>
          <w:iCs/>
        </w:rPr>
        <w:t>“Riordino della disciplina dei servizi pubblici locali di rilevanza economica”</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decreto del Presidente della Repubblica 27 aprile 1999, n. 158, recante </w:t>
      </w:r>
      <w:r w:rsidRPr="00A0556C">
        <w:rPr>
          <w:rFonts w:ascii="Perpetua" w:hAnsi="Perpetua" w:cs="Times New Roman"/>
          <w:i/>
          <w:iCs/>
        </w:rPr>
        <w:t>“Regolamento recante norme per la elaborazione del metodo normalizzato per definire la tariffa del servizio di gestione del ciclo dei rifiuti urbani”</w:t>
      </w:r>
      <w:r w:rsidRPr="004D724D">
        <w:rPr>
          <w:rFonts w:ascii="Perpetua" w:hAnsi="Perpetua" w:cs="Times New Roman"/>
        </w:rPr>
        <w:t xml:space="preserve">; • la deliberazione dell’Autorità di Regolazione per Energia Reti e Ambiente (di seguito: Autorità) 30 luglio 2019, 333/2019/A, recante </w:t>
      </w:r>
      <w:r w:rsidRPr="00A0556C">
        <w:rPr>
          <w:rFonts w:ascii="Perpetua" w:hAnsi="Perpetua" w:cs="Times New Roman"/>
          <w:i/>
          <w:iCs/>
        </w:rPr>
        <w:t>“Istituzione di un tavolo tecnico con Regioni ed Autonomie Locali in materia di ciclo dei rifiuti urbani ed assimilati”;</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31 ottobre 2019, 443/2019/R/RIF, recante </w:t>
      </w:r>
      <w:r w:rsidRPr="00A0556C">
        <w:rPr>
          <w:rFonts w:ascii="Perpetua" w:hAnsi="Perpetua" w:cs="Times New Roman"/>
          <w:i/>
          <w:iCs/>
        </w:rPr>
        <w:t xml:space="preserve">“Definizione dei criteri di riconoscimento dei costi efficienti di esercizio e di investimento del servizio integrato dei rifiuti, per il periodo 2018-2021” </w:t>
      </w:r>
      <w:r w:rsidRPr="004D724D">
        <w:rPr>
          <w:rFonts w:ascii="Perpetua" w:hAnsi="Perpetua" w:cs="Times New Roman"/>
        </w:rPr>
        <w:t xml:space="preserve">e il relativo Allegato A;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3 agosto 2021, 363/2021/R/RIF (di seguito: deliberazione 363/2021/R/RIF), recante </w:t>
      </w:r>
      <w:r w:rsidRPr="00A0556C">
        <w:rPr>
          <w:rFonts w:ascii="Perpetua" w:hAnsi="Perpetua" w:cs="Times New Roman"/>
          <w:i/>
          <w:iCs/>
        </w:rPr>
        <w:t xml:space="preserve">“Approvazione del metodo tariffario rifiuti (MTR-2) per il secondo periodo regolatorio 2022-2025” </w:t>
      </w:r>
      <w:r w:rsidRPr="004D724D">
        <w:rPr>
          <w:rFonts w:ascii="Perpetua" w:hAnsi="Perpetua" w:cs="Times New Roman"/>
        </w:rPr>
        <w:t xml:space="preserve">e, specialmente, il suo Allegato A (di seguito: MTR-2);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26 ottobre 2021, 459/2021/R/RIF, recante </w:t>
      </w:r>
      <w:r w:rsidRPr="00A0556C">
        <w:rPr>
          <w:rFonts w:ascii="Perpetua" w:hAnsi="Perpetua" w:cs="Times New Roman"/>
          <w:i/>
          <w:iCs/>
        </w:rPr>
        <w:t>“Valorizzazione dei parametri alla base del calcolo dei costi d’uso del capitale in attuazione del Metodo Tariffario Rifiuti (MTR-2)”;</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18 gennaio 2022, 15/2022/R/RIF, recante </w:t>
      </w:r>
      <w:r w:rsidRPr="00A0556C">
        <w:rPr>
          <w:rFonts w:ascii="Perpetua" w:hAnsi="Perpetua" w:cs="Times New Roman"/>
          <w:i/>
          <w:iCs/>
        </w:rPr>
        <w:t>“Regolazione della qualità del servizio di gestione dei rifiuti urbani”</w:t>
      </w:r>
      <w:r w:rsidRPr="004D724D">
        <w:rPr>
          <w:rFonts w:ascii="Perpetua" w:hAnsi="Perpetua" w:cs="Times New Roman"/>
        </w:rPr>
        <w:t xml:space="preserve"> e il relativo Allegato A (TQRIF); </w:t>
      </w:r>
    </w:p>
    <w:p w:rsidR="00CE6381" w:rsidRPr="00E73E6A" w:rsidRDefault="00CE6381" w:rsidP="004D724D">
      <w:pPr>
        <w:spacing w:line="360" w:lineRule="auto"/>
        <w:jc w:val="both"/>
        <w:rPr>
          <w:rFonts w:ascii="Perpetua" w:hAnsi="Perpetua" w:cs="Times New Roman"/>
          <w:i/>
          <w:iCs/>
        </w:rPr>
      </w:pPr>
      <w:r w:rsidRPr="004D724D">
        <w:rPr>
          <w:rFonts w:ascii="Perpetua" w:hAnsi="Perpetua" w:cs="Times New Roman"/>
        </w:rPr>
        <w:lastRenderedPageBreak/>
        <w:t xml:space="preserve">• la deliberazione dell’Autorità 22 febbraio 2022, 68/2022/R/RIF, recante </w:t>
      </w:r>
      <w:r w:rsidRPr="00E73E6A">
        <w:rPr>
          <w:rFonts w:ascii="Perpetua" w:hAnsi="Perpetua" w:cs="Times New Roman"/>
          <w:i/>
          <w:iCs/>
        </w:rPr>
        <w:t xml:space="preserve">“Valorizzazione dei parametri finanziari alla base del calcolo dei costi d’uso del capitale in attuazione del metodo tariffario rifiuti (MTR-2), sulla base dei criteri recati dal TIWACC di cui alla deliberazione dell’Autorità 614/2021/R/COM”;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3 agosto 2023, 385/2023/R/RIF, recante </w:t>
      </w:r>
      <w:r w:rsidRPr="00E73E6A">
        <w:rPr>
          <w:rFonts w:ascii="Perpetua" w:hAnsi="Perpetua" w:cs="Times New Roman"/>
          <w:i/>
          <w:iCs/>
        </w:rPr>
        <w:t>“Schema tipo di contratto di servizio per la regolazione dei rapporti fra enti affidanti e gestori del servizio dei rifiuti urbani”</w:t>
      </w:r>
      <w:r w:rsidRPr="004D724D">
        <w:rPr>
          <w:rFonts w:ascii="Perpetua" w:hAnsi="Perpetua" w:cs="Times New Roman"/>
        </w:rPr>
        <w:t xml:space="preserve"> (di seguito: deliberazione 385/2023/R/RIF) e il relativo Allegato A;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3 agosto 2023, </w:t>
      </w:r>
      <w:r w:rsidR="00A0556C">
        <w:rPr>
          <w:rFonts w:ascii="Perpetua" w:hAnsi="Perpetua" w:cs="Times New Roman"/>
        </w:rPr>
        <w:t xml:space="preserve">n. </w:t>
      </w:r>
      <w:r w:rsidRPr="004D724D">
        <w:rPr>
          <w:rFonts w:ascii="Perpetua" w:hAnsi="Perpetua" w:cs="Times New Roman"/>
        </w:rPr>
        <w:t xml:space="preserve">386/2023/R/RIF, recante “Istituzione di sistemi di perequazione nel settore dei rifiuti urbani” e il relativo Allegato A;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3 agosto 2023, </w:t>
      </w:r>
      <w:r w:rsidR="00A0556C">
        <w:rPr>
          <w:rFonts w:ascii="Perpetua" w:hAnsi="Perpetua" w:cs="Times New Roman"/>
        </w:rPr>
        <w:t xml:space="preserve">n. </w:t>
      </w:r>
      <w:r w:rsidRPr="004D724D">
        <w:rPr>
          <w:rFonts w:ascii="Perpetua" w:hAnsi="Perpetua" w:cs="Times New Roman"/>
        </w:rPr>
        <w:t xml:space="preserve">387/2023/R/RIF, recante </w:t>
      </w:r>
      <w:r w:rsidRPr="00E73E6A">
        <w:rPr>
          <w:rFonts w:ascii="Perpetua" w:hAnsi="Perpetua" w:cs="Times New Roman"/>
          <w:i/>
          <w:iCs/>
        </w:rPr>
        <w:t>“Obblighi di monitoraggio e di trasparenza sull’efficienza della raccolta differenziata e sugli impianti di trattamento dei rifiuti urbani”</w:t>
      </w:r>
      <w:r w:rsidRPr="004D724D">
        <w:rPr>
          <w:rFonts w:ascii="Perpetua" w:hAnsi="Perpetua" w:cs="Times New Roman"/>
        </w:rPr>
        <w:t xml:space="preserve"> e il relativo Allegato A;</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la deliberazione dell’Autorità 3 agosto 2023, 389/2023/R/RIF, recante “</w:t>
      </w:r>
      <w:r w:rsidRPr="00E73E6A">
        <w:rPr>
          <w:rFonts w:ascii="Perpetua" w:hAnsi="Perpetua" w:cs="Times New Roman"/>
          <w:i/>
          <w:iCs/>
        </w:rPr>
        <w:t>Aggiornamento biennale (2024-2025) del metodo tariffario rifiuti (MTR-2)”</w:t>
      </w:r>
      <w:r w:rsidRPr="004D724D">
        <w:rPr>
          <w:rFonts w:ascii="Perpetua" w:hAnsi="Perpetua" w:cs="Times New Roman"/>
        </w:rPr>
        <w:t xml:space="preserve">;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10 ottobre 2023, 465/2023/R/RIF, recante </w:t>
      </w:r>
      <w:r w:rsidRPr="00E73E6A">
        <w:rPr>
          <w:rFonts w:ascii="Perpetua" w:hAnsi="Perpetua" w:cs="Times New Roman"/>
          <w:i/>
          <w:iCs/>
        </w:rPr>
        <w:t xml:space="preserve">“Conferma delle misure di cui all’articolo 2 della deliberazione dell’Autorità 389/2023/R/RIF, per l’ottemperanza alla sentenza del Consiglio di Stato, Sezione Seconda del 24 luglio 2023, n. 7196”;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deliberazione dell’Autorità 24 ottobre 2023, 487/2023/R/RIF, recante “Valorizzazione dei parametri alla base del calcolo dei costi d’uso del capitale, in attuazione della deliberazione dell’autorità 389/2023/R/RIF, di aggiornamento biennale (2024-2025) del metodo tariffario rifiuti (MTR-2)”;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documento per la consultazione dell’Autorità 13 giugno 2023, 275/2023/R/RIF, recante “Orientamenti per l’aggiornamento biennale 2024-2025 del Metodo Tariffario Rifiuti (MTR-2)”;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il documento per la consultazione dell’Autorità 16 maggio 2023, 214/2023/R/RIF, recante “Orientamenti per la determinazione dei costi efficienti della raccolta differenziata, del trasporto, delle operazioni di cernita e delle altre operazioni preliminari e la definizione degli standard tecnici e qualitativi del recupero e dello smaltimento”;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xml:space="preserve">• la determina 4 novembre 2021, 02/DRIF/2021, recante “Approvazione degli schemi tipo degli atti costituenti la proposta tariffaria e delle modalità operative per la relativa trasmissione all’Autorità, nonché chiarimenti su aspetti applicativi della disciplina tariffaria del servizio integrato dei rifiuti approvata con la deliberazione 363/2021/R/RIF (MTR-2) per il secondo periodo regolatorio 2022- 2025” (di seguito: determina 02/DRIF/2021); </w:t>
      </w:r>
    </w:p>
    <w:p w:rsidR="00CE6381" w:rsidRPr="004D724D" w:rsidRDefault="00CE6381" w:rsidP="004D724D">
      <w:pPr>
        <w:spacing w:line="360" w:lineRule="auto"/>
        <w:jc w:val="both"/>
        <w:rPr>
          <w:rFonts w:ascii="Perpetua" w:hAnsi="Perpetua" w:cs="Times New Roman"/>
        </w:rPr>
      </w:pPr>
      <w:r w:rsidRPr="004D724D">
        <w:rPr>
          <w:rFonts w:ascii="Perpetua" w:hAnsi="Perpetua" w:cs="Times New Roman"/>
        </w:rPr>
        <w:t>• il comunicato dell’Autorità 10 ottobre 2023, recante “Pubblicazione versione preview file TOOL MTR-2 agg. 2024-2025” (di seguito: Comunicato 10 ottobre 2023).</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b/>
          <w:bCs/>
        </w:rPr>
        <w:lastRenderedPageBreak/>
        <w:t xml:space="preserve">Considerato </w:t>
      </w:r>
      <w:r w:rsidRPr="004D724D">
        <w:rPr>
          <w:rFonts w:ascii="Perpetua" w:hAnsi="Perpetua" w:cs="Times New Roman"/>
        </w:rPr>
        <w:t>che con la deliberazione 363/2021/R/RIF, l’Autorità ha adottato il Metodo Tariffario Rifiuti (MTR-2) per il periodo regolatorio 2022-2025, disciplinando le regole e le procedure per le predisposizioni tariffarie del ciclo integrato dei rifiuti relative al secondo periodo regolatorio 2022-2025. L’Autorità, per qua</w:t>
      </w:r>
      <w:r w:rsidRPr="004D724D">
        <w:rPr>
          <w:rFonts w:ascii="Perpetua" w:hAnsi="Perpetua" w:cs="Times New Roman"/>
        </w:rPr>
        <w:t>n</w:t>
      </w:r>
      <w:r w:rsidRPr="004D724D">
        <w:rPr>
          <w:rFonts w:ascii="Perpetua" w:hAnsi="Perpetua" w:cs="Times New Roman"/>
        </w:rPr>
        <w:t xml:space="preserve">to di interesse in questa sede, nella sopra richiamata deliberazione: </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al comma 7.1 ha stabilito che, ai fini della determinazione delle entrate tariffarie di riferimento, il gestore predispone il piano economico-finanziario secondo quanto previsto dal MTR-2 e lo trasmette all’Ente territ</w:t>
      </w:r>
      <w:r w:rsidRPr="004D724D">
        <w:rPr>
          <w:rFonts w:ascii="Perpetua" w:hAnsi="Perpetua" w:cs="Times New Roman"/>
        </w:rPr>
        <w:t>o</w:t>
      </w:r>
      <w:r w:rsidRPr="004D724D">
        <w:rPr>
          <w:rFonts w:ascii="Perpetua" w:hAnsi="Perpetua" w:cs="Times New Roman"/>
        </w:rPr>
        <w:t xml:space="preserve">rialmente competente; </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al comma 7.3 ha esplicitato l’insieme degli atti di cui si compone la predisposizione tariffaria, stabilendo che il piano economico-finanziario per la determinazione delle entrate tariffarie di riferimento per il servizio integr</w:t>
      </w:r>
      <w:r w:rsidRPr="004D724D">
        <w:rPr>
          <w:rFonts w:ascii="Perpetua" w:hAnsi="Perpetua" w:cs="Times New Roman"/>
        </w:rPr>
        <w:t>a</w:t>
      </w:r>
      <w:r w:rsidRPr="004D724D">
        <w:rPr>
          <w:rFonts w:ascii="Perpetua" w:hAnsi="Perpetua" w:cs="Times New Roman"/>
        </w:rPr>
        <w:t xml:space="preserve">to di gestione dei rifiuti urbani sia corredato dalle informazioni e dagli atti necessari alla validazione dei dati impiegati e, in particolare, da: </w:t>
      </w:r>
    </w:p>
    <w:p w:rsidR="00C2220C" w:rsidRPr="004D724D" w:rsidRDefault="00C2220C" w:rsidP="004D724D">
      <w:pPr>
        <w:pStyle w:val="Default"/>
        <w:spacing w:line="360" w:lineRule="auto"/>
        <w:ind w:firstLine="709"/>
        <w:jc w:val="both"/>
        <w:rPr>
          <w:rFonts w:ascii="Perpetua" w:hAnsi="Perpetua" w:cs="Times New Roman"/>
        </w:rPr>
      </w:pPr>
      <w:r w:rsidRPr="004D724D">
        <w:rPr>
          <w:rFonts w:ascii="Perpetua" w:hAnsi="Perpetua" w:cs="Times New Roman"/>
        </w:rPr>
        <w:t xml:space="preserve">- una dichiarazione, ai sensi del d.P.R. 445/2000, sottoscritta dal legale rappresentante, attestante la veridicità dei dati trasmessi e la corrispondenza tra i valori riportati nella modulistica con i valori desumibili dalla documentazione contabile di riferimento tenuta ai sensi di legge; </w:t>
      </w:r>
    </w:p>
    <w:p w:rsidR="00C2220C" w:rsidRPr="004D724D" w:rsidRDefault="00C2220C" w:rsidP="004D724D">
      <w:pPr>
        <w:pStyle w:val="Default"/>
        <w:spacing w:line="360" w:lineRule="auto"/>
        <w:ind w:firstLine="709"/>
        <w:jc w:val="both"/>
        <w:rPr>
          <w:rFonts w:ascii="Perpetua" w:hAnsi="Perpetua" w:cs="Times New Roman"/>
        </w:rPr>
      </w:pPr>
      <w:r w:rsidRPr="004D724D">
        <w:rPr>
          <w:rFonts w:ascii="Perpetua" w:hAnsi="Perpetua" w:cs="Times New Roman"/>
        </w:rPr>
        <w:t>- una relazione che illustri sia i criteri di corrispondenza tra i valori riportati nella modulistica con i v</w:t>
      </w:r>
      <w:r w:rsidRPr="004D724D">
        <w:rPr>
          <w:rFonts w:ascii="Perpetua" w:hAnsi="Perpetua" w:cs="Times New Roman"/>
        </w:rPr>
        <w:t>a</w:t>
      </w:r>
      <w:r w:rsidRPr="004D724D">
        <w:rPr>
          <w:rFonts w:ascii="Perpetua" w:hAnsi="Perpetua" w:cs="Times New Roman"/>
        </w:rPr>
        <w:t xml:space="preserve">lori desumibili dalla documentazione contabile, sia le evidenze contabili sottostanti; </w:t>
      </w:r>
    </w:p>
    <w:p w:rsidR="00C2220C" w:rsidRPr="004D724D" w:rsidRDefault="00C2220C" w:rsidP="004D724D">
      <w:pPr>
        <w:pStyle w:val="Default"/>
        <w:spacing w:line="360" w:lineRule="auto"/>
        <w:ind w:firstLine="709"/>
        <w:jc w:val="both"/>
        <w:rPr>
          <w:rFonts w:ascii="Perpetua" w:hAnsi="Perpetua" w:cs="Times New Roman"/>
        </w:rPr>
      </w:pPr>
      <w:r w:rsidRPr="004D724D">
        <w:rPr>
          <w:rFonts w:ascii="Perpetua" w:hAnsi="Perpetua" w:cs="Times New Roman"/>
        </w:rPr>
        <w:t xml:space="preserve">- eventuali ulteriori elementi richiesti dall’organismo competente; </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all’articolo 8 ha fornito prime disposizioni ai fini dell’aggiornamento biennale delle predisposizioni tariffarie, rimandando ad un successivo provvedimento la definizione di indicazioni metodologiche puntuali. In particol</w:t>
      </w:r>
      <w:r w:rsidRPr="004D724D">
        <w:rPr>
          <w:rFonts w:ascii="Perpetua" w:hAnsi="Perpetua" w:cs="Times New Roman"/>
        </w:rPr>
        <w:t>a</w:t>
      </w:r>
      <w:r w:rsidRPr="004D724D">
        <w:rPr>
          <w:rFonts w:ascii="Perpetua" w:hAnsi="Perpetua" w:cs="Times New Roman"/>
        </w:rPr>
        <w:t xml:space="preserve">re: </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xml:space="preserve">- il comma 8.2 prevede che gli organismi competenti, in esito alla procedura di validazione dei dati alla base dell’aggiornamento inviati dal gestore, provvedono a trasmettere all’Autorità: </w:t>
      </w:r>
    </w:p>
    <w:p w:rsidR="00C2220C" w:rsidRPr="004D724D" w:rsidRDefault="00C2220C" w:rsidP="004D724D">
      <w:pPr>
        <w:pStyle w:val="Default"/>
        <w:spacing w:line="360" w:lineRule="auto"/>
        <w:ind w:left="709" w:firstLine="284"/>
        <w:jc w:val="both"/>
        <w:rPr>
          <w:rFonts w:ascii="Perpetua" w:hAnsi="Perpetua" w:cs="Times New Roman"/>
        </w:rPr>
      </w:pPr>
      <w:r w:rsidRPr="004D724D">
        <w:rPr>
          <w:rFonts w:ascii="Perpetua" w:hAnsi="Perpetua" w:cs="Times New Roman"/>
        </w:rPr>
        <w:t xml:space="preserve">a)l’aggiornamento del piano economico-finanziario per gli anni 2024 e 2025; </w:t>
      </w:r>
    </w:p>
    <w:p w:rsidR="00C2220C" w:rsidRPr="004D724D" w:rsidRDefault="00C2220C" w:rsidP="004D724D">
      <w:pPr>
        <w:pStyle w:val="Default"/>
        <w:spacing w:line="360" w:lineRule="auto"/>
        <w:ind w:left="709" w:firstLine="284"/>
        <w:jc w:val="both"/>
        <w:rPr>
          <w:rFonts w:ascii="Perpetua" w:hAnsi="Perpetua" w:cs="Times New Roman"/>
        </w:rPr>
      </w:pPr>
      <w:r w:rsidRPr="004D724D">
        <w:rPr>
          <w:rFonts w:ascii="Perpetua" w:hAnsi="Perpetua" w:cs="Times New Roman"/>
        </w:rPr>
        <w:t xml:space="preserve">b) con riferimento agli anni 2023 e 2024, i corrispettivi del servizio integrato dei rifiuti; </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il successivo comma 8.3 stabilisce che la trasmissione all’Autorità dell’aggiornamento della predisposizione tariffaria viene effettuata da parte dell’Ente territorialmente competente alla validazione della predisposizione riferita alle entrate tariffarie di riferimento per il servizio integrato di gestione dei rifiuti urbani, entro 30 giorni dall’adozione delle pertinenti determinazioni ovvero dal termine stabilito dalla normativa statale di riferimento per l’approvazione della TARI riferita all’anno 2024;</w:t>
      </w:r>
    </w:p>
    <w:p w:rsidR="00C2220C"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con determina 02/DRIF/2021 sono stati chiariti taluni aspetti applicativi della disciplina tariffaria del servizio integrato dei rifiuti di cui al MTR-2, anche definendo gli schemi tipo degli atti costituenti la proposta tariffaria e le modalità operative per la relativa trasmissione all’Autorità con riferimento alla prima approvazione delle predisposizioni 2022-2025.</w:t>
      </w:r>
    </w:p>
    <w:p w:rsidR="00293D11" w:rsidRPr="004D724D" w:rsidRDefault="00C2220C" w:rsidP="004D724D">
      <w:pPr>
        <w:pStyle w:val="Default"/>
        <w:spacing w:line="360" w:lineRule="auto"/>
        <w:jc w:val="both"/>
        <w:rPr>
          <w:rFonts w:ascii="Perpetua" w:hAnsi="Perpetua" w:cs="Times New Roman"/>
          <w:b/>
          <w:bCs/>
        </w:rPr>
      </w:pPr>
      <w:r w:rsidRPr="004D724D">
        <w:rPr>
          <w:rFonts w:ascii="Perpetua" w:hAnsi="Perpetua" w:cs="Times New Roman"/>
          <w:b/>
          <w:bCs/>
        </w:rPr>
        <w:lastRenderedPageBreak/>
        <w:t>C</w:t>
      </w:r>
      <w:r w:rsidR="006B602D" w:rsidRPr="004D724D">
        <w:rPr>
          <w:rFonts w:ascii="Perpetua" w:hAnsi="Perpetua" w:cs="Times New Roman"/>
          <w:b/>
          <w:bCs/>
        </w:rPr>
        <w:t>onsiderato</w:t>
      </w:r>
      <w:r w:rsidRPr="004D724D">
        <w:rPr>
          <w:rFonts w:ascii="Perpetua" w:hAnsi="Perpetua" w:cs="Times New Roman"/>
          <w:b/>
          <w:bCs/>
        </w:rPr>
        <w:t>,</w:t>
      </w:r>
      <w:r w:rsidR="006B602D" w:rsidRPr="004D724D">
        <w:rPr>
          <w:rFonts w:ascii="Perpetua" w:hAnsi="Perpetua" w:cs="Times New Roman"/>
          <w:b/>
          <w:bCs/>
        </w:rPr>
        <w:t xml:space="preserve"> inoltre</w:t>
      </w:r>
      <w:r w:rsidRPr="004D724D">
        <w:rPr>
          <w:rFonts w:ascii="Perpetua" w:hAnsi="Perpetua" w:cs="Times New Roman"/>
          <w:b/>
          <w:bCs/>
        </w:rPr>
        <w:t>,</w:t>
      </w:r>
      <w:r w:rsidR="006B602D" w:rsidRPr="004D724D">
        <w:rPr>
          <w:rFonts w:ascii="Perpetua" w:hAnsi="Perpetua" w:cs="Times New Roman"/>
          <w:b/>
          <w:bCs/>
        </w:rPr>
        <w:t>che</w:t>
      </w:r>
      <w:r w:rsidRPr="004D724D">
        <w:rPr>
          <w:rFonts w:ascii="Perpetua" w:hAnsi="Perpetua" w:cs="Times New Roman"/>
          <w:b/>
          <w:bCs/>
        </w:rPr>
        <w:t xml:space="preserve">: </w:t>
      </w:r>
    </w:p>
    <w:p w:rsidR="00293D11"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la deliberazione 389/2023/R/RIF reca le disposizioni aventi ad oggetto la definizione delle regole e delle procedure per l’aggiornamento biennale (2024- 2025) delle predisposizioni tariffarie del ciclo integrato dei r</w:t>
      </w:r>
      <w:r w:rsidRPr="004D724D">
        <w:rPr>
          <w:rFonts w:ascii="Perpetua" w:hAnsi="Perpetua" w:cs="Times New Roman"/>
        </w:rPr>
        <w:t>i</w:t>
      </w:r>
      <w:r w:rsidRPr="004D724D">
        <w:rPr>
          <w:rFonts w:ascii="Perpetua" w:hAnsi="Perpetua" w:cs="Times New Roman"/>
        </w:rPr>
        <w:t xml:space="preserve">fiuti; </w:t>
      </w:r>
    </w:p>
    <w:p w:rsidR="00293D11" w:rsidRPr="004D724D" w:rsidRDefault="00C2220C" w:rsidP="004D724D">
      <w:pPr>
        <w:pStyle w:val="Default"/>
        <w:spacing w:line="360" w:lineRule="auto"/>
        <w:jc w:val="both"/>
        <w:rPr>
          <w:rFonts w:ascii="Perpetua" w:hAnsi="Perpetua" w:cs="Times New Roman"/>
        </w:rPr>
      </w:pPr>
      <w:r w:rsidRPr="004D724D">
        <w:rPr>
          <w:rFonts w:ascii="Perpetua" w:hAnsi="Perpetua" w:cs="Times New Roman"/>
        </w:rPr>
        <w:t xml:space="preserve">• l’articolo 8 della deliberazione sopra richiamata introduce regole per il monitoraggio del grado di copertura dei costi efficienti della raccolta differenziata, definito dall’indicatore </w:t>
      </w:r>
      <w:r w:rsidRPr="004D724D">
        <w:rPr>
          <w:rFonts w:ascii="Cambria Math" w:hAnsi="Cambria Math" w:cs="Cambria Math"/>
        </w:rPr>
        <w:t>𝛨𝑎</w:t>
      </w:r>
      <w:r w:rsidRPr="004D724D">
        <w:rPr>
          <w:rFonts w:ascii="Perpetua" w:hAnsi="Perpetua" w:cs="Times New Roman"/>
        </w:rPr>
        <w:t>, al cui valore di partenza, calcolato tenuto conto dei dati del 2022, sono associati obiettivi annuali di miglioramento o di mantenimento per il 2024 e il 2025 cui seguirà, a partire dal 2026, in caso di mancato raggiungimento</w:t>
      </w:r>
      <w:r w:rsidR="00293D11" w:rsidRPr="004D724D">
        <w:rPr>
          <w:rFonts w:ascii="Perpetua" w:hAnsi="Perpetua" w:cs="Times New Roman"/>
        </w:rPr>
        <w:t xml:space="preserve"> dei target, una misura di rialloc</w:t>
      </w:r>
      <w:r w:rsidR="00293D11" w:rsidRPr="004D724D">
        <w:rPr>
          <w:rFonts w:ascii="Perpetua" w:hAnsi="Perpetua" w:cs="Times New Roman"/>
        </w:rPr>
        <w:t>a</w:t>
      </w:r>
      <w:r w:rsidR="00293D11" w:rsidRPr="004D724D">
        <w:rPr>
          <w:rFonts w:ascii="Perpetua" w:hAnsi="Perpetua" w:cs="Times New Roman"/>
        </w:rPr>
        <w:t>zione dei costi attraverso la valorizzazione di una componente incentivante finalizzata a promuovere il migli</w:t>
      </w:r>
      <w:r w:rsidR="00293D11" w:rsidRPr="004D724D">
        <w:rPr>
          <w:rFonts w:ascii="Perpetua" w:hAnsi="Perpetua" w:cs="Times New Roman"/>
        </w:rPr>
        <w:t>o</w:t>
      </w:r>
      <w:r w:rsidR="00293D11" w:rsidRPr="004D724D">
        <w:rPr>
          <w:rFonts w:ascii="Perpetua" w:hAnsi="Perpetua" w:cs="Times New Roman"/>
        </w:rPr>
        <w:t xml:space="preserve">ramento del coefficiente medesimo; </w:t>
      </w:r>
    </w:p>
    <w:p w:rsidR="00293D11" w:rsidRPr="004D724D" w:rsidRDefault="00293D11" w:rsidP="004D724D">
      <w:pPr>
        <w:pStyle w:val="Default"/>
        <w:spacing w:line="360" w:lineRule="auto"/>
        <w:jc w:val="both"/>
        <w:rPr>
          <w:rFonts w:ascii="Perpetua" w:hAnsi="Perpetua" w:cs="Times New Roman"/>
        </w:rPr>
      </w:pPr>
      <w:r w:rsidRPr="004D724D">
        <w:rPr>
          <w:rFonts w:ascii="Perpetua" w:hAnsi="Perpetua" w:cs="Times New Roman"/>
        </w:rPr>
        <w:t xml:space="preserve">• la medesima deliberazione 389/2023/R/RIF: </w:t>
      </w:r>
    </w:p>
    <w:p w:rsidR="00293D11" w:rsidRPr="004D724D" w:rsidRDefault="00293D11" w:rsidP="004D724D">
      <w:pPr>
        <w:pStyle w:val="Default"/>
        <w:spacing w:line="360" w:lineRule="auto"/>
        <w:ind w:left="426"/>
        <w:jc w:val="both"/>
        <w:rPr>
          <w:rFonts w:ascii="Perpetua" w:hAnsi="Perpetua" w:cs="Times New Roman"/>
        </w:rPr>
      </w:pPr>
      <w:r w:rsidRPr="004D724D">
        <w:rPr>
          <w:rFonts w:ascii="Perpetua" w:hAnsi="Perpetua" w:cs="Times New Roman"/>
        </w:rPr>
        <w:t xml:space="preserve">- rinvia a successivi provvedimenti attuativi, la puntuale esplicitazione (ai fini della determinazione del grado di copertura dei costi efficienti della raccolta differenziata </w:t>
      </w:r>
      <w:r w:rsidRPr="004D724D">
        <w:rPr>
          <w:rFonts w:ascii="Cambria Math" w:hAnsi="Cambria Math" w:cs="Cambria Math"/>
        </w:rPr>
        <w:t>𝛨𝑎</w:t>
      </w:r>
      <w:r w:rsidRPr="004D724D">
        <w:rPr>
          <w:rFonts w:ascii="Perpetua" w:hAnsi="Perpetua" w:cs="Times New Roman"/>
        </w:rPr>
        <w:t>) delle regole per la riclassificazione delle componenti di ricavo e di costo volta alla quantificazione dei ricavi relativi ai rifiuti di imballaggio (</w:t>
      </w:r>
      <w:r w:rsidRPr="004D724D">
        <w:rPr>
          <w:rFonts w:ascii="Cambria Math" w:hAnsi="Cambria Math" w:cs="Cambria Math"/>
        </w:rPr>
        <w:t>𝐴𝑅𝑆𝐶</w:t>
      </w:r>
      <w:r w:rsidRPr="004D724D">
        <w:rPr>
          <w:rFonts w:ascii="Perpetua" w:hAnsi="Perpetua" w:cs="Times New Roman"/>
        </w:rPr>
        <w:t>_</w:t>
      </w:r>
      <w:r w:rsidRPr="004D724D">
        <w:rPr>
          <w:rFonts w:ascii="Cambria Math" w:hAnsi="Cambria Math" w:cs="Cambria Math"/>
        </w:rPr>
        <w:t>𝑠𝑖</w:t>
      </w:r>
      <w:r w:rsidRPr="004D724D">
        <w:rPr>
          <w:rFonts w:ascii="Perpetua" w:hAnsi="Perpetua" w:cs="Times New Roman"/>
        </w:rPr>
        <w:t xml:space="preserve"> ,</w:t>
      </w:r>
      <w:r w:rsidRPr="004D724D">
        <w:rPr>
          <w:rFonts w:ascii="Cambria Math" w:hAnsi="Cambria Math" w:cs="Cambria Math"/>
        </w:rPr>
        <w:t>𝑎</w:t>
      </w:r>
      <w:r w:rsidRPr="004D724D">
        <w:rPr>
          <w:rFonts w:ascii="Perpetua" w:hAnsi="Perpetua" w:cs="Times New Roman"/>
        </w:rPr>
        <w:t xml:space="preserve"> </w:t>
      </w:r>
      <w:r w:rsidRPr="004D724D">
        <w:rPr>
          <w:rFonts w:ascii="Cambria Math" w:hAnsi="Cambria Math" w:cs="Cambria Math"/>
        </w:rPr>
        <w:t>𝐴𝐺𝐺</w:t>
      </w:r>
      <w:r w:rsidRPr="004D724D">
        <w:rPr>
          <w:rFonts w:ascii="Perpetua" w:hAnsi="Perpetua" w:cs="Times New Roman"/>
        </w:rPr>
        <w:t xml:space="preserve"> ) e dei costi relativi alla raccolta differenziata dei rifiuti di imballaggio (</w:t>
      </w:r>
      <w:r w:rsidRPr="004D724D">
        <w:rPr>
          <w:rFonts w:ascii="Cambria Math" w:hAnsi="Cambria Math" w:cs="Cambria Math"/>
        </w:rPr>
        <w:t>𝐶𝑅𝐷𝑆𝐶</w:t>
      </w:r>
      <w:r w:rsidRPr="004D724D">
        <w:rPr>
          <w:rFonts w:ascii="Perpetua" w:hAnsi="Perpetua" w:cs="Times New Roman"/>
        </w:rPr>
        <w:t>_</w:t>
      </w:r>
      <w:r w:rsidRPr="004D724D">
        <w:rPr>
          <w:rFonts w:ascii="Cambria Math" w:hAnsi="Cambria Math" w:cs="Cambria Math"/>
        </w:rPr>
        <w:t>𝑠𝑖</w:t>
      </w:r>
      <w:r w:rsidRPr="004D724D">
        <w:rPr>
          <w:rFonts w:ascii="Perpetua" w:hAnsi="Perpetua" w:cs="Times New Roman"/>
        </w:rPr>
        <w:t xml:space="preserve"> ,</w:t>
      </w:r>
      <w:r w:rsidRPr="004D724D">
        <w:rPr>
          <w:rFonts w:ascii="Cambria Math" w:hAnsi="Cambria Math" w:cs="Cambria Math"/>
        </w:rPr>
        <w:t>𝑎</w:t>
      </w:r>
      <w:r w:rsidRPr="004D724D">
        <w:rPr>
          <w:rFonts w:ascii="Perpetua" w:hAnsi="Perpetua" w:cs="Times New Roman"/>
        </w:rPr>
        <w:t xml:space="preserve"> </w:t>
      </w:r>
      <w:r w:rsidRPr="004D724D">
        <w:rPr>
          <w:rFonts w:ascii="Cambria Math" w:hAnsi="Cambria Math" w:cs="Cambria Math"/>
        </w:rPr>
        <w:t>𝐴𝐺𝐺</w:t>
      </w:r>
      <w:r w:rsidRPr="004D724D">
        <w:rPr>
          <w:rFonts w:ascii="Perpetua" w:hAnsi="Perpetua" w:cs="Times New Roman"/>
        </w:rPr>
        <w:t xml:space="preserve"> ), nonché l’esplicitazione delle modalità semplificate di determinazione di tali variabili nel caso di e</w:t>
      </w:r>
      <w:r w:rsidRPr="004D724D">
        <w:rPr>
          <w:rFonts w:ascii="Perpetua" w:hAnsi="Perpetua" w:cs="Times New Roman"/>
        </w:rPr>
        <w:t>f</w:t>
      </w:r>
      <w:r w:rsidRPr="004D724D">
        <w:rPr>
          <w:rFonts w:ascii="Perpetua" w:hAnsi="Perpetua" w:cs="Times New Roman"/>
        </w:rPr>
        <w:t xml:space="preserve">fettive; </w:t>
      </w:r>
    </w:p>
    <w:p w:rsidR="003C2C41" w:rsidRPr="004D724D" w:rsidRDefault="00293D11" w:rsidP="004D724D">
      <w:pPr>
        <w:pStyle w:val="Default"/>
        <w:spacing w:line="360" w:lineRule="auto"/>
        <w:ind w:left="426"/>
        <w:jc w:val="both"/>
        <w:rPr>
          <w:rFonts w:ascii="Perpetua" w:hAnsi="Perpetua" w:cs="Times New Roman"/>
        </w:rPr>
      </w:pPr>
      <w:r w:rsidRPr="004D724D">
        <w:rPr>
          <w:rFonts w:ascii="Perpetua" w:hAnsi="Perpetua" w:cs="Times New Roman"/>
        </w:rPr>
        <w:t xml:space="preserve">- in particolare, rinvia a successive determinazioni la definizione di schemi tabellari per la raccolta dei dati necessari alla quantificazione dell’indicatore </w:t>
      </w:r>
      <w:r w:rsidRPr="004D724D">
        <w:rPr>
          <w:rFonts w:ascii="Cambria Math" w:hAnsi="Cambria Math" w:cs="Cambria Math"/>
        </w:rPr>
        <w:t>𝛨𝑎</w:t>
      </w:r>
      <w:r w:rsidRPr="004D724D">
        <w:rPr>
          <w:rFonts w:ascii="Perpetua" w:hAnsi="Perpetua" w:cs="Times New Roman"/>
        </w:rPr>
        <w:t xml:space="preserve">, nonché all’individuazione dei relativi obiettivi annuali di miglioramento o di mantenimento; </w:t>
      </w:r>
    </w:p>
    <w:p w:rsidR="00293D11" w:rsidRPr="004D724D" w:rsidRDefault="003C2C41" w:rsidP="004D724D">
      <w:pPr>
        <w:pStyle w:val="Default"/>
        <w:spacing w:line="360" w:lineRule="auto"/>
        <w:ind w:left="426"/>
        <w:jc w:val="both"/>
        <w:rPr>
          <w:rFonts w:ascii="Perpetua" w:hAnsi="Perpetua" w:cs="Times New Roman"/>
        </w:rPr>
      </w:pPr>
      <w:r w:rsidRPr="004D724D">
        <w:rPr>
          <w:rFonts w:ascii="Perpetua" w:hAnsi="Perpetua" w:cs="Times New Roman"/>
        </w:rPr>
        <w:t xml:space="preserve">- </w:t>
      </w:r>
      <w:r w:rsidR="00293D11" w:rsidRPr="004D724D">
        <w:rPr>
          <w:rFonts w:ascii="Perpetua" w:hAnsi="Perpetua" w:cs="Times New Roman"/>
        </w:rPr>
        <w:t>al fine di implementare i provvedimenti attuativi di cui al precedente alinea, nei mesi di settembre e o</w:t>
      </w:r>
      <w:r w:rsidR="00293D11" w:rsidRPr="004D724D">
        <w:rPr>
          <w:rFonts w:ascii="Perpetua" w:hAnsi="Perpetua" w:cs="Times New Roman"/>
        </w:rPr>
        <w:t>t</w:t>
      </w:r>
      <w:r w:rsidR="00293D11" w:rsidRPr="004D724D">
        <w:rPr>
          <w:rFonts w:ascii="Perpetua" w:hAnsi="Perpetua" w:cs="Times New Roman"/>
        </w:rPr>
        <w:t>tobre 2023, l’Autorità ha condotto approfondimenti nell’ambito di due focus group con i soggetti intere</w:t>
      </w:r>
      <w:r w:rsidR="00293D11" w:rsidRPr="004D724D">
        <w:rPr>
          <w:rFonts w:ascii="Perpetua" w:hAnsi="Perpetua" w:cs="Times New Roman"/>
        </w:rPr>
        <w:t>s</w:t>
      </w:r>
      <w:r w:rsidR="00293D11" w:rsidRPr="004D724D">
        <w:rPr>
          <w:rFonts w:ascii="Perpetua" w:hAnsi="Perpetua" w:cs="Times New Roman"/>
        </w:rPr>
        <w:t xml:space="preserve">sati, in particolare associazioni di Enti territorialmente competenti(ivi inclusi i Comuni), associazioni di categoria dei gestori e Consorzi per la gestione degli obblighi di responsabilità estesa del produttore, oltre che in sede di tavolo tecnico permanente con Regioni e Autonomie locali istituito con la deliberazione 333/2019/A; </w:t>
      </w:r>
    </w:p>
    <w:p w:rsidR="00293D11" w:rsidRPr="004D724D" w:rsidRDefault="00293D11" w:rsidP="004D724D">
      <w:pPr>
        <w:pStyle w:val="Default"/>
        <w:spacing w:line="360" w:lineRule="auto"/>
        <w:jc w:val="both"/>
        <w:rPr>
          <w:rFonts w:ascii="Perpetua" w:hAnsi="Perpetua" w:cs="Times New Roman"/>
        </w:rPr>
      </w:pPr>
      <w:r w:rsidRPr="004D724D">
        <w:rPr>
          <w:rFonts w:ascii="Perpetua" w:hAnsi="Perpetua" w:cs="Times New Roman"/>
        </w:rPr>
        <w:t xml:space="preserve">• l’articolo 9 della deliberazione </w:t>
      </w:r>
      <w:r w:rsidR="00343223">
        <w:rPr>
          <w:rFonts w:ascii="Perpetua" w:hAnsi="Perpetua" w:cs="Times New Roman"/>
        </w:rPr>
        <w:t xml:space="preserve">n. </w:t>
      </w:r>
      <w:r w:rsidRPr="004D724D">
        <w:rPr>
          <w:rFonts w:ascii="Perpetua" w:hAnsi="Perpetua" w:cs="Times New Roman"/>
        </w:rPr>
        <w:t>389/2023/R/RIF rinvia, poi, a successive determinazioni la definizione delle modalità operative per la predisposizione e trasmissione - prevista per le proposte tariffarie relative agli anni 2024 e 2025 dal sopra richiamato comma 8.2 della deliberazione 363/2021/R/RIF, nonché dal comma 1.2 della medesima deliberazione 3</w:t>
      </w:r>
      <w:r w:rsidR="00343223">
        <w:rPr>
          <w:rFonts w:ascii="Perpetua" w:hAnsi="Perpetua" w:cs="Times New Roman"/>
        </w:rPr>
        <w:t xml:space="preserve">n. </w:t>
      </w:r>
      <w:r w:rsidRPr="004D724D">
        <w:rPr>
          <w:rFonts w:ascii="Perpetua" w:hAnsi="Perpetua" w:cs="Times New Roman"/>
        </w:rPr>
        <w:t>89/2023/R/RIF - dell’aggiornamento dei dati e degli atti, redatti seco</w:t>
      </w:r>
      <w:r w:rsidRPr="004D724D">
        <w:rPr>
          <w:rFonts w:ascii="Perpetua" w:hAnsi="Perpetua" w:cs="Times New Roman"/>
        </w:rPr>
        <w:t>n</w:t>
      </w:r>
      <w:r w:rsidRPr="004D724D">
        <w:rPr>
          <w:rFonts w:ascii="Perpetua" w:hAnsi="Perpetua" w:cs="Times New Roman"/>
        </w:rPr>
        <w:t xml:space="preserve">do schemi tipizzati, che costituiscono l’aggiornamento della proposta tariffaria per gli anni 2024 e 2025, con </w:t>
      </w:r>
      <w:r w:rsidRPr="004D724D">
        <w:rPr>
          <w:rFonts w:ascii="Perpetua" w:hAnsi="Perpetua" w:cs="Times New Roman"/>
        </w:rPr>
        <w:lastRenderedPageBreak/>
        <w:t>particolare riferimento al piano economico-finanziario, corredato dalle informazioni e dagli atti necessari alla validazione dei dati impiegati (comma 9.2).</w:t>
      </w:r>
    </w:p>
    <w:p w:rsidR="006B602D" w:rsidRPr="004D724D" w:rsidRDefault="006B602D" w:rsidP="004D724D">
      <w:pPr>
        <w:pStyle w:val="Default"/>
        <w:spacing w:line="360" w:lineRule="auto"/>
        <w:jc w:val="both"/>
        <w:rPr>
          <w:rFonts w:ascii="Perpetua" w:hAnsi="Perpetua" w:cs="Times New Roman"/>
        </w:rPr>
      </w:pPr>
      <w:r w:rsidRPr="004D724D">
        <w:rPr>
          <w:rFonts w:ascii="Perpetua" w:hAnsi="Perpetua" w:cs="Times New Roman"/>
          <w:b/>
          <w:bCs/>
        </w:rPr>
        <w:t>Considerato che</w:t>
      </w:r>
      <w:r w:rsidRPr="004D724D">
        <w:rPr>
          <w:rFonts w:ascii="Perpetua" w:hAnsi="Perpetua" w:cs="Times New Roman"/>
        </w:rPr>
        <w:t xml:space="preserve">: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xml:space="preserve">• con la deliberazione </w:t>
      </w:r>
      <w:r w:rsidR="00411110">
        <w:rPr>
          <w:rFonts w:ascii="Perpetua" w:hAnsi="Perpetua" w:cs="Times New Roman"/>
        </w:rPr>
        <w:t xml:space="preserve">n. </w:t>
      </w:r>
      <w:r w:rsidRPr="004D724D">
        <w:rPr>
          <w:rFonts w:ascii="Perpetua" w:hAnsi="Perpetua" w:cs="Times New Roman"/>
        </w:rPr>
        <w:t>385/2023/R/RIF l’Autorità ha adottato lo schema-tipo di contratto di servizio per la regolazione dei rapporti fra enti affidanti e gestori del servizio dei rifiuti urbani introducendo, tra le altre mis</w:t>
      </w:r>
      <w:r w:rsidRPr="004D724D">
        <w:rPr>
          <w:rFonts w:ascii="Perpetua" w:hAnsi="Perpetua" w:cs="Times New Roman"/>
        </w:rPr>
        <w:t>u</w:t>
      </w:r>
      <w:r w:rsidRPr="004D724D">
        <w:rPr>
          <w:rFonts w:ascii="Perpetua" w:hAnsi="Perpetua" w:cs="Times New Roman"/>
        </w:rPr>
        <w:t>re, il “Piano Economico Finanziario di Affidamento” (articolo 8 dell’Allegato A alla suddetta deliberazione), e prevedendo che il medesimo sia allegato al contratto e redatto “secondo lo schema tipo definito dall’Autorità ai sensi dell’articolo 7, comma 1, del decreto legislativo 201/2022 per gli affidamenti assentiti ai sensi delle d</w:t>
      </w:r>
      <w:r w:rsidRPr="004D724D">
        <w:rPr>
          <w:rFonts w:ascii="Perpetua" w:hAnsi="Perpetua" w:cs="Times New Roman"/>
        </w:rPr>
        <w:t>i</w:t>
      </w:r>
      <w:r w:rsidRPr="004D724D">
        <w:rPr>
          <w:rFonts w:ascii="Perpetua" w:hAnsi="Perpetua" w:cs="Times New Roman"/>
        </w:rPr>
        <w:t>sposizioni ivi previste”;</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xml:space="preserve">• infatti, in sede di riordino della materia dei servizi pubblici locali di rilevanza economica – con la finalità di promuovere dinamiche che possano assicurare la qualità dei servizi pubblici e i risultati delle gestioni nell’interesse primario dei cittadini e degli utenti – con il citato decreto legislativo </w:t>
      </w:r>
      <w:r w:rsidR="00431D72">
        <w:rPr>
          <w:rFonts w:ascii="Perpetua" w:hAnsi="Perpetua" w:cs="Times New Roman"/>
        </w:rPr>
        <w:t xml:space="preserve">n. </w:t>
      </w:r>
      <w:r w:rsidRPr="004D724D">
        <w:rPr>
          <w:rFonts w:ascii="Perpetua" w:hAnsi="Perpetua" w:cs="Times New Roman"/>
        </w:rPr>
        <w:t>201/2022 è stata raffo</w:t>
      </w:r>
      <w:r w:rsidRPr="004D724D">
        <w:rPr>
          <w:rFonts w:ascii="Perpetua" w:hAnsi="Perpetua" w:cs="Times New Roman"/>
        </w:rPr>
        <w:t>r</w:t>
      </w:r>
      <w:r w:rsidRPr="004D724D">
        <w:rPr>
          <w:rFonts w:ascii="Perpetua" w:hAnsi="Perpetua" w:cs="Times New Roman"/>
        </w:rPr>
        <w:t>zata la centralità dell’azione delle Autorità nazionali di regolazione esplicitando, per quanto di interesse in qu</w:t>
      </w:r>
      <w:r w:rsidRPr="004D724D">
        <w:rPr>
          <w:rFonts w:ascii="Perpetua" w:hAnsi="Perpetua" w:cs="Times New Roman"/>
        </w:rPr>
        <w:t>e</w:t>
      </w:r>
      <w:r w:rsidRPr="004D724D">
        <w:rPr>
          <w:rFonts w:ascii="Perpetua" w:hAnsi="Perpetua" w:cs="Times New Roman"/>
        </w:rPr>
        <w:t>sta sede, che:</w:t>
      </w:r>
    </w:p>
    <w:p w:rsidR="004D68CA" w:rsidRPr="004D724D" w:rsidRDefault="004D68CA" w:rsidP="004D724D">
      <w:pPr>
        <w:pStyle w:val="Default"/>
        <w:spacing w:line="360" w:lineRule="auto"/>
        <w:ind w:firstLine="709"/>
        <w:jc w:val="both"/>
        <w:rPr>
          <w:rFonts w:ascii="Perpetua" w:hAnsi="Perpetua" w:cs="Times New Roman"/>
        </w:rPr>
      </w:pPr>
      <w:r w:rsidRPr="004D724D">
        <w:rPr>
          <w:rFonts w:ascii="Perpetua" w:hAnsi="Perpetua" w:cs="Times New Roman"/>
        </w:rPr>
        <w:t xml:space="preserve"> - le Autorità di regolazione individuano, per gli ambiti di competenza, i costi di riferimento dei servizi e lo schema tipo di piano economico-finanziario, che rilevano anche ai fini delle valutazioni richieste ai soggetti affidanti in sede di assegnazione del servizio pubblico locale (articolo 7, comma 1); </w:t>
      </w:r>
    </w:p>
    <w:p w:rsidR="004D68CA" w:rsidRPr="004D724D" w:rsidRDefault="004D68CA" w:rsidP="004D724D">
      <w:pPr>
        <w:pStyle w:val="Default"/>
        <w:spacing w:line="360" w:lineRule="auto"/>
        <w:ind w:firstLine="709"/>
        <w:jc w:val="both"/>
        <w:rPr>
          <w:rFonts w:ascii="Perpetua" w:hAnsi="Perpetua" w:cs="Times New Roman"/>
        </w:rPr>
      </w:pPr>
      <w:r w:rsidRPr="004D724D">
        <w:rPr>
          <w:rFonts w:ascii="Perpetua" w:hAnsi="Perpetua" w:cs="Times New Roman"/>
        </w:rPr>
        <w:t>- sulla piattaforma unica della trasparenza gestita dall’ANAC sono anche resi accessibili gli atti e gli i</w:t>
      </w:r>
      <w:r w:rsidRPr="004D724D">
        <w:rPr>
          <w:rFonts w:ascii="Perpetua" w:hAnsi="Perpetua" w:cs="Times New Roman"/>
        </w:rPr>
        <w:t>n</w:t>
      </w:r>
      <w:r w:rsidRPr="004D724D">
        <w:rPr>
          <w:rFonts w:ascii="Perpetua" w:hAnsi="Perpetua" w:cs="Times New Roman"/>
        </w:rPr>
        <w:t>dicatori cui al menzionato articolo 7 (articolo 31, comma 4).</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b/>
          <w:bCs/>
        </w:rPr>
        <w:t>C</w:t>
      </w:r>
      <w:r w:rsidR="006B602D" w:rsidRPr="004D724D">
        <w:rPr>
          <w:rFonts w:ascii="Perpetua" w:hAnsi="Perpetua" w:cs="Times New Roman"/>
          <w:b/>
          <w:bCs/>
        </w:rPr>
        <w:t>onsiderato che</w:t>
      </w:r>
      <w:r w:rsidRPr="004D724D">
        <w:rPr>
          <w:rFonts w:ascii="Perpetua" w:hAnsi="Perpetua" w:cs="Times New Roman"/>
        </w:rPr>
        <w:t xml:space="preserve">: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con il Comunicato 10 ottobre 2023, l’Autorità ha reso disponibile una versione preview del tool di calcolo - elaborato nell’ambito delle attività volte alla definizione delle modalità di presentazione dei dati e di redazione degli atti, secondo schemi tipizzati, ai sensi di quanto previsto all’articolo 9 della deliberazione 389/2023/R/RIF - richiedendo contestualmente l’invio di eventuali contributi e commenti, allo scopo di a</w:t>
      </w:r>
      <w:r w:rsidRPr="004D724D">
        <w:rPr>
          <w:rFonts w:ascii="Perpetua" w:hAnsi="Perpetua" w:cs="Times New Roman"/>
        </w:rPr>
        <w:t>c</w:t>
      </w:r>
      <w:r w:rsidRPr="004D724D">
        <w:rPr>
          <w:rFonts w:ascii="Perpetua" w:hAnsi="Perpetua" w:cs="Times New Roman"/>
        </w:rPr>
        <w:t xml:space="preserve">quisire elementi utili;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xml:space="preserve">• nella sopra richiamata versione di preview del tool di calcolo l’Autorità ha, tra l’altro: </w:t>
      </w:r>
    </w:p>
    <w:p w:rsidR="004D68CA" w:rsidRPr="004D724D" w:rsidRDefault="004D68CA" w:rsidP="004D724D">
      <w:pPr>
        <w:pStyle w:val="Default"/>
        <w:spacing w:line="360" w:lineRule="auto"/>
        <w:ind w:firstLine="709"/>
        <w:jc w:val="both"/>
        <w:rPr>
          <w:rFonts w:ascii="Perpetua" w:hAnsi="Perpetua" w:cs="Times New Roman"/>
        </w:rPr>
      </w:pPr>
      <w:r w:rsidRPr="004D724D">
        <w:rPr>
          <w:rFonts w:ascii="Perpetua" w:hAnsi="Perpetua" w:cs="Times New Roman"/>
        </w:rPr>
        <w:t xml:space="preserve">- esplicitato le modalità operative per il monitoraggio del grado di copertura dei costi efficienti della raccolta differenziata espresso dall’indicatore </w:t>
      </w:r>
      <w:r w:rsidRPr="004D724D">
        <w:rPr>
          <w:rFonts w:ascii="Cambria Math" w:hAnsi="Cambria Math" w:cs="Cambria Math"/>
        </w:rPr>
        <w:t>𝛨𝑎</w:t>
      </w:r>
      <w:r w:rsidRPr="004D724D">
        <w:rPr>
          <w:rFonts w:ascii="Perpetua" w:hAnsi="Perpetua" w:cs="Times New Roman"/>
        </w:rPr>
        <w:t xml:space="preserve">; </w:t>
      </w:r>
    </w:p>
    <w:p w:rsidR="004D68CA" w:rsidRPr="004D724D" w:rsidRDefault="004D68CA" w:rsidP="004D724D">
      <w:pPr>
        <w:pStyle w:val="Default"/>
        <w:spacing w:line="360" w:lineRule="auto"/>
        <w:ind w:firstLine="709"/>
        <w:jc w:val="both"/>
        <w:rPr>
          <w:rFonts w:ascii="Perpetua" w:hAnsi="Perpetua" w:cs="Times New Roman"/>
        </w:rPr>
      </w:pPr>
      <w:r w:rsidRPr="004D724D">
        <w:rPr>
          <w:rFonts w:ascii="Perpetua" w:hAnsi="Perpetua" w:cs="Times New Roman"/>
        </w:rPr>
        <w:t>- precisato che, per gli affidamenti assentiti ai sensi del decreto legislativo 201/2022, il Piano Econ</w:t>
      </w:r>
      <w:r w:rsidRPr="004D724D">
        <w:rPr>
          <w:rFonts w:ascii="Perpetua" w:hAnsi="Perpetua" w:cs="Times New Roman"/>
        </w:rPr>
        <w:t>o</w:t>
      </w:r>
      <w:r w:rsidRPr="004D724D">
        <w:rPr>
          <w:rFonts w:ascii="Perpetua" w:hAnsi="Perpetua" w:cs="Times New Roman"/>
        </w:rPr>
        <w:t>mico Finanziario di Affidamento (di cui all’articolo 8 dell’Allegato A alla deliberazione 385/2023/R/RIF) è sviluppato a partire dalla valorizzazione dei costi e dei ricavi riconosciuti al gestore degli specifici servizi e att</w:t>
      </w:r>
      <w:r w:rsidRPr="004D724D">
        <w:rPr>
          <w:rFonts w:ascii="Perpetua" w:hAnsi="Perpetua" w:cs="Times New Roman"/>
        </w:rPr>
        <w:t>i</w:t>
      </w:r>
      <w:r w:rsidRPr="004D724D">
        <w:rPr>
          <w:rFonts w:ascii="Perpetua" w:hAnsi="Perpetua" w:cs="Times New Roman"/>
        </w:rPr>
        <w:t>vità oggetto di affidamento nel periodo di riferimento della predisposizione tariffaria, reiterandone criteri e v</w:t>
      </w:r>
      <w:r w:rsidRPr="004D724D">
        <w:rPr>
          <w:rFonts w:ascii="Perpetua" w:hAnsi="Perpetua" w:cs="Times New Roman"/>
        </w:rPr>
        <w:t>a</w:t>
      </w:r>
      <w:r w:rsidRPr="004D724D">
        <w:rPr>
          <w:rFonts w:ascii="Perpetua" w:hAnsi="Perpetua" w:cs="Times New Roman"/>
        </w:rPr>
        <w:t xml:space="preserve">lorizzazioni fino al termine dell’affidamento;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lastRenderedPageBreak/>
        <w:t>• taluni stakeholder hanno segnalato l’opportunità di prevedere modalità di recupero degli scostamenti tra i c</w:t>
      </w:r>
      <w:r w:rsidRPr="004D724D">
        <w:rPr>
          <w:rFonts w:ascii="Perpetua" w:hAnsi="Perpetua" w:cs="Times New Roman"/>
        </w:rPr>
        <w:t>o</w:t>
      </w:r>
      <w:r w:rsidRPr="004D724D">
        <w:rPr>
          <w:rFonts w:ascii="Perpetua" w:hAnsi="Perpetua" w:cs="Times New Roman"/>
        </w:rPr>
        <w:t xml:space="preserve">sti riconosciuti in sede di prima approvazione della predisposizione tariffaria 2022-2025, con riguardo all’annualità 2023 (annualità per la quale è stato assunto, in sede di prima approvazione, un tasso di inflazione nullo ai sensi del comma 7.5 del MTR-2), e quelli </w:t>
      </w:r>
      <w:proofErr w:type="spellStart"/>
      <w:r w:rsidRPr="004D724D">
        <w:rPr>
          <w:rFonts w:ascii="Perpetua" w:hAnsi="Perpetua" w:cs="Times New Roman"/>
        </w:rPr>
        <w:t>riquantificabili</w:t>
      </w:r>
      <w:proofErr w:type="spellEnd"/>
      <w:r w:rsidRPr="004D724D">
        <w:rPr>
          <w:rFonts w:ascii="Perpetua" w:hAnsi="Perpetua" w:cs="Times New Roman"/>
        </w:rPr>
        <w:t xml:space="preserve"> considerando il valore puntuale dell’inflazione relativo alla menzionata annualità, sottolineando l’entità significativa di tali scostamenti.</w:t>
      </w:r>
    </w:p>
    <w:p w:rsidR="004D68CA" w:rsidRPr="004D724D" w:rsidRDefault="006B602D" w:rsidP="004D724D">
      <w:pPr>
        <w:pStyle w:val="Default"/>
        <w:spacing w:line="360" w:lineRule="auto"/>
        <w:jc w:val="both"/>
        <w:rPr>
          <w:rFonts w:ascii="Perpetua" w:hAnsi="Perpetua" w:cs="Times New Roman"/>
        </w:rPr>
      </w:pPr>
      <w:r w:rsidRPr="004D724D">
        <w:rPr>
          <w:rFonts w:ascii="Perpetua" w:hAnsi="Perpetua" w:cs="Times New Roman"/>
          <w:b/>
          <w:bCs/>
        </w:rPr>
        <w:t>Ritenuto che</w:t>
      </w:r>
      <w:r w:rsidR="004D68CA" w:rsidRPr="004D724D">
        <w:rPr>
          <w:rFonts w:ascii="Perpetua" w:hAnsi="Perpetua" w:cs="Times New Roman"/>
        </w:rPr>
        <w:t xml:space="preserve">: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xml:space="preserve">• </w:t>
      </w:r>
      <w:r w:rsidR="006B602D" w:rsidRPr="004D724D">
        <w:rPr>
          <w:rFonts w:ascii="Perpetua" w:hAnsi="Perpetua" w:cs="Times New Roman"/>
        </w:rPr>
        <w:t>con determinazione n. 1/DTAC/2023 si sono introdotte</w:t>
      </w:r>
      <w:r w:rsidRPr="004D724D">
        <w:rPr>
          <w:rFonts w:ascii="Perpetua" w:hAnsi="Perpetua" w:cs="Times New Roman"/>
        </w:rPr>
        <w:t xml:space="preserve"> modalità operative che permettano all’Ente territ</w:t>
      </w:r>
      <w:r w:rsidRPr="004D724D">
        <w:rPr>
          <w:rFonts w:ascii="Perpetua" w:hAnsi="Perpetua" w:cs="Times New Roman"/>
        </w:rPr>
        <w:t>o</w:t>
      </w:r>
      <w:r w:rsidRPr="004D724D">
        <w:rPr>
          <w:rFonts w:ascii="Perpetua" w:hAnsi="Perpetua" w:cs="Times New Roman"/>
        </w:rPr>
        <w:t>rialmente competente, anche alla luce degli esiti dell’attività di validazione al medesimo richiesta, di valorizzare il recupero del conguaglio riconducibile agli scostamenti tra i costi riconosciuti in sede di prima approvazione della predisposizione tariffaria 2022-2025, con riguardo all’annualità 2023 (annualità per la quale è stato assu</w:t>
      </w:r>
      <w:r w:rsidRPr="004D724D">
        <w:rPr>
          <w:rFonts w:ascii="Perpetua" w:hAnsi="Perpetua" w:cs="Times New Roman"/>
        </w:rPr>
        <w:t>n</w:t>
      </w:r>
      <w:r w:rsidRPr="004D724D">
        <w:rPr>
          <w:rFonts w:ascii="Perpetua" w:hAnsi="Perpetua" w:cs="Times New Roman"/>
        </w:rPr>
        <w:t xml:space="preserve">to, in sede di prima approvazione, un tasso di inflazione nullo ai sensi del comma 7.5 del MTR-2) e quelli </w:t>
      </w:r>
      <w:proofErr w:type="spellStart"/>
      <w:r w:rsidRPr="004D724D">
        <w:rPr>
          <w:rFonts w:ascii="Perpetua" w:hAnsi="Perpetua" w:cs="Times New Roman"/>
        </w:rPr>
        <w:t>r</w:t>
      </w:r>
      <w:r w:rsidRPr="004D724D">
        <w:rPr>
          <w:rFonts w:ascii="Perpetua" w:hAnsi="Perpetua" w:cs="Times New Roman"/>
        </w:rPr>
        <w:t>i</w:t>
      </w:r>
      <w:r w:rsidRPr="004D724D">
        <w:rPr>
          <w:rFonts w:ascii="Perpetua" w:hAnsi="Perpetua" w:cs="Times New Roman"/>
        </w:rPr>
        <w:t>quantificabili</w:t>
      </w:r>
      <w:proofErr w:type="spellEnd"/>
      <w:r w:rsidRPr="004D724D">
        <w:rPr>
          <w:rFonts w:ascii="Perpetua" w:hAnsi="Perpetua" w:cs="Times New Roman"/>
        </w:rPr>
        <w:t xml:space="preserve"> considerando il tasso di inflazione pari a </w:t>
      </w:r>
      <w:r w:rsidRPr="004D724D">
        <w:rPr>
          <w:rFonts w:ascii="Cambria Math" w:hAnsi="Cambria Math" w:cs="Cambria Math"/>
        </w:rPr>
        <w:t>𝐼</w:t>
      </w:r>
      <w:r w:rsidRPr="004D724D">
        <w:rPr>
          <w:rFonts w:ascii="Perpetua" w:hAnsi="Perpetua" w:cs="Times New Roman"/>
        </w:rPr>
        <w:t xml:space="preserve"> 2023 = 4,5%, individuato dalla deliberazione 389/2023/R/RIF; tale misura è da intendersi di natura straordinaria, alla luce della riscontrata spinta inflazi</w:t>
      </w:r>
      <w:r w:rsidRPr="004D724D">
        <w:rPr>
          <w:rFonts w:ascii="Perpetua" w:hAnsi="Perpetua" w:cs="Times New Roman"/>
        </w:rPr>
        <w:t>o</w:t>
      </w:r>
      <w:r w:rsidRPr="004D724D">
        <w:rPr>
          <w:rFonts w:ascii="Perpetua" w:hAnsi="Perpetua" w:cs="Times New Roman"/>
        </w:rPr>
        <w:t xml:space="preserve">nistica, imprevedibile e di magnitudo rilevante; </w:t>
      </w:r>
    </w:p>
    <w:p w:rsidR="004D68CA" w:rsidRPr="004D724D" w:rsidRDefault="004D68CA" w:rsidP="004D724D">
      <w:pPr>
        <w:pStyle w:val="Default"/>
        <w:spacing w:line="360" w:lineRule="auto"/>
        <w:jc w:val="both"/>
        <w:rPr>
          <w:rFonts w:ascii="Perpetua" w:hAnsi="Perpetua" w:cs="Times New Roman"/>
        </w:rPr>
      </w:pPr>
      <w:r w:rsidRPr="004D724D">
        <w:rPr>
          <w:rFonts w:ascii="Perpetua" w:hAnsi="Perpetua" w:cs="Times New Roman"/>
        </w:rPr>
        <w:t>• rinviare agli ulteriori chiarimenti e alle precisazioni applicative della disciplina tariffaria del servizio integrato dei rifiuti di cui al MTR-2 contenute nella determina 2/DRIF/2021, ribadendo che i criteri applicati e le eve</w:t>
      </w:r>
      <w:r w:rsidRPr="004D724D">
        <w:rPr>
          <w:rFonts w:ascii="Perpetua" w:hAnsi="Perpetua" w:cs="Times New Roman"/>
        </w:rPr>
        <w:t>n</w:t>
      </w:r>
      <w:r w:rsidRPr="004D724D">
        <w:rPr>
          <w:rFonts w:ascii="Perpetua" w:hAnsi="Perpetua" w:cs="Times New Roman"/>
        </w:rPr>
        <w:t>tuali specificità che caratterizzano la valorizzazione delle partite di costo e di ricavo necessarie per la predisp</w:t>
      </w:r>
      <w:r w:rsidRPr="004D724D">
        <w:rPr>
          <w:rFonts w:ascii="Perpetua" w:hAnsi="Perpetua" w:cs="Times New Roman"/>
        </w:rPr>
        <w:t>o</w:t>
      </w:r>
      <w:r w:rsidRPr="004D724D">
        <w:rPr>
          <w:rFonts w:ascii="Perpetua" w:hAnsi="Perpetua" w:cs="Times New Roman"/>
        </w:rPr>
        <w:t>sizione del piano economico-finanziario debbano essere opportunamente illustrate nella relazione di accomp</w:t>
      </w:r>
      <w:r w:rsidRPr="004D724D">
        <w:rPr>
          <w:rFonts w:ascii="Perpetua" w:hAnsi="Perpetua" w:cs="Times New Roman"/>
        </w:rPr>
        <w:t>a</w:t>
      </w:r>
      <w:r w:rsidRPr="004D724D">
        <w:rPr>
          <w:rFonts w:ascii="Perpetua" w:hAnsi="Perpetua" w:cs="Times New Roman"/>
        </w:rPr>
        <w:t>gnamento di cui al comma 27.4 del MTR-2, sulla base dello schema tipo riportato in all’Allegato 2;</w:t>
      </w:r>
    </w:p>
    <w:p w:rsidR="005F5BA6" w:rsidRPr="004D724D" w:rsidRDefault="005F5BA6" w:rsidP="004D724D">
      <w:pPr>
        <w:spacing w:line="360" w:lineRule="auto"/>
        <w:jc w:val="both"/>
        <w:rPr>
          <w:rFonts w:ascii="Perpetua" w:hAnsi="Perpetua" w:cs="Times New Roman"/>
          <w:b/>
          <w:bCs/>
        </w:rPr>
      </w:pPr>
      <w:r w:rsidRPr="004D724D">
        <w:rPr>
          <w:rFonts w:ascii="Perpetua" w:hAnsi="Perpetua" w:cs="Times New Roman"/>
          <w:b/>
          <w:bCs/>
        </w:rPr>
        <w:t>V</w:t>
      </w:r>
      <w:r w:rsidR="006B602D" w:rsidRPr="004D724D">
        <w:rPr>
          <w:rFonts w:ascii="Perpetua" w:hAnsi="Perpetua" w:cs="Times New Roman"/>
          <w:b/>
          <w:bCs/>
        </w:rPr>
        <w:t>ista</w:t>
      </w:r>
      <w:r w:rsidRPr="004D724D">
        <w:rPr>
          <w:rFonts w:ascii="Perpetua" w:hAnsi="Perpetua" w:cs="Times New Roman"/>
          <w:b/>
          <w:bCs/>
        </w:rPr>
        <w:t xml:space="preserve"> </w:t>
      </w:r>
      <w:r w:rsidRPr="004D724D">
        <w:rPr>
          <w:rFonts w:ascii="Perpetua" w:hAnsi="Perpetua" w:cs="Times New Roman"/>
        </w:rPr>
        <w:t>la deliberazione dell’Autorità di Regolazione per Energia, Reti e Ambiente (ARERA) 3 agosto 2021 n. 363/2021/R/RIF “</w:t>
      </w:r>
      <w:r w:rsidRPr="004D724D">
        <w:rPr>
          <w:rFonts w:ascii="Perpetua" w:hAnsi="Perpetua" w:cs="Times New Roman"/>
          <w:i/>
          <w:iCs/>
        </w:rPr>
        <w:t>Approvazione del Metodo tariffario rifiuti (MTR-2) per il secondo periodo regolatorio 2022-2025</w:t>
      </w:r>
      <w:r w:rsidRPr="004D724D">
        <w:rPr>
          <w:rFonts w:ascii="Perpetua" w:hAnsi="Perpetua" w:cs="Times New Roman"/>
        </w:rPr>
        <w:t>” ed il suo Allegato A – “Metodo tariffario rifiuti per il secondo periodo regolatorio 2022-2025 – MTR-2 e richiamati, in particolare, della stessa i seguenti articoli:</w:t>
      </w:r>
    </w:p>
    <w:p w:rsidR="005F5BA6" w:rsidRPr="004D724D" w:rsidRDefault="005F5BA6" w:rsidP="004D724D">
      <w:pPr>
        <w:pStyle w:val="Default"/>
        <w:numPr>
          <w:ilvl w:val="0"/>
          <w:numId w:val="17"/>
        </w:numPr>
        <w:spacing w:line="360" w:lineRule="auto"/>
        <w:jc w:val="both"/>
        <w:rPr>
          <w:rFonts w:ascii="Perpetua" w:hAnsi="Perpetua" w:cs="Times New Roman"/>
        </w:rPr>
      </w:pPr>
      <w:r w:rsidRPr="004D724D">
        <w:rPr>
          <w:rFonts w:ascii="Perpetua" w:hAnsi="Perpetua" w:cs="Times New Roman"/>
        </w:rPr>
        <w:t>articolo 1 “</w:t>
      </w:r>
      <w:r w:rsidRPr="004D724D">
        <w:rPr>
          <w:rFonts w:ascii="Perpetua" w:hAnsi="Perpetua" w:cs="Times New Roman"/>
          <w:i/>
          <w:iCs/>
        </w:rPr>
        <w:t>Ambito di applicazione</w:t>
      </w:r>
      <w:r w:rsidRPr="004D724D">
        <w:rPr>
          <w:rFonts w:ascii="Perpetua" w:hAnsi="Perpetua" w:cs="Times New Roman"/>
        </w:rPr>
        <w:t>” che così recita: «</w:t>
      </w:r>
      <w:r w:rsidRPr="004D724D">
        <w:rPr>
          <w:rFonts w:ascii="Perpetua" w:hAnsi="Perpetua" w:cs="Times New Roman"/>
          <w:b/>
          <w:bCs/>
          <w:i/>
          <w:iCs/>
        </w:rPr>
        <w:t xml:space="preserve">1.1 </w:t>
      </w:r>
      <w:r w:rsidRPr="004D724D">
        <w:rPr>
          <w:rFonts w:ascii="Perpetua" w:hAnsi="Perpetua" w:cs="Times New Roman"/>
          <w:i/>
          <w:iCs/>
        </w:rPr>
        <w:t>Il presente provvedimento reca le disposizioni aventi ad oggetto la determinazione delle entrate tariffarie per l’erogazione del servizio integrato di gestione dei rifiuti, a</w:t>
      </w:r>
      <w:r w:rsidRPr="004D724D">
        <w:rPr>
          <w:rFonts w:ascii="Perpetua" w:hAnsi="Perpetua" w:cs="Times New Roman"/>
          <w:i/>
          <w:iCs/>
        </w:rPr>
        <w:t>n</w:t>
      </w:r>
      <w:r w:rsidRPr="004D724D">
        <w:rPr>
          <w:rFonts w:ascii="Perpetua" w:hAnsi="Perpetua" w:cs="Times New Roman"/>
          <w:i/>
          <w:iCs/>
        </w:rPr>
        <w:t>che differenziati, urbani e assimilati, ovvero dei singoli servizi che lo compongono, e trova applicazione per le a</w:t>
      </w:r>
      <w:r w:rsidRPr="004D724D">
        <w:rPr>
          <w:rFonts w:ascii="Perpetua" w:hAnsi="Perpetua" w:cs="Times New Roman"/>
          <w:i/>
          <w:iCs/>
        </w:rPr>
        <w:t>n</w:t>
      </w:r>
      <w:r w:rsidRPr="004D724D">
        <w:rPr>
          <w:rFonts w:ascii="Perpetua" w:hAnsi="Perpetua" w:cs="Times New Roman"/>
          <w:i/>
          <w:iCs/>
        </w:rPr>
        <w:t>nualità 2022, 2023, 2024 e 2025..</w:t>
      </w:r>
      <w:r w:rsidRPr="004D724D">
        <w:rPr>
          <w:rFonts w:ascii="Perpetua" w:hAnsi="Perpetua" w:cs="Times New Roman"/>
          <w:b/>
          <w:bCs/>
          <w:i/>
          <w:iCs/>
        </w:rPr>
        <w:t xml:space="preserve">1.2 </w:t>
      </w:r>
      <w:r w:rsidRPr="004D724D">
        <w:rPr>
          <w:rFonts w:ascii="Perpetua" w:hAnsi="Perpetua" w:cs="Times New Roman"/>
          <w:i/>
          <w:iCs/>
        </w:rPr>
        <w:t>Il perimetro gestionale assoggettato al presente provvedimento è uniforme su tutto il territorio nazionale e, sulla base della normativa vigente, comprende: a) spazzamento e lavaggio delle strade; b) raccolta e trasporto dei rifiuti urbani; c) gestione tariffe e rapporti con gli utenti; d) trattamento e rec</w:t>
      </w:r>
      <w:r w:rsidRPr="004D724D">
        <w:rPr>
          <w:rFonts w:ascii="Perpetua" w:hAnsi="Perpetua" w:cs="Times New Roman"/>
          <w:i/>
          <w:iCs/>
        </w:rPr>
        <w:t>u</w:t>
      </w:r>
      <w:r w:rsidRPr="004D724D">
        <w:rPr>
          <w:rFonts w:ascii="Perpetua" w:hAnsi="Perpetua" w:cs="Times New Roman"/>
          <w:i/>
          <w:iCs/>
        </w:rPr>
        <w:t>pero dei rifiuti urbani; e) trattamento e smaltimento dei rifiuti urbani.</w:t>
      </w:r>
      <w:r w:rsidRPr="004D724D">
        <w:rPr>
          <w:rFonts w:ascii="Perpetua" w:hAnsi="Perpetua" w:cs="Times New Roman"/>
        </w:rPr>
        <w:t xml:space="preserve">» </w:t>
      </w:r>
    </w:p>
    <w:p w:rsidR="005F5BA6" w:rsidRPr="004D724D" w:rsidRDefault="005F5BA6" w:rsidP="004D724D">
      <w:pPr>
        <w:pStyle w:val="Default"/>
        <w:numPr>
          <w:ilvl w:val="0"/>
          <w:numId w:val="16"/>
        </w:numPr>
        <w:spacing w:line="360" w:lineRule="auto"/>
        <w:jc w:val="both"/>
        <w:rPr>
          <w:rFonts w:ascii="Perpetua" w:hAnsi="Perpetua" w:cs="Times New Roman"/>
        </w:rPr>
      </w:pPr>
      <w:r w:rsidRPr="004D724D">
        <w:rPr>
          <w:rFonts w:ascii="Perpetua" w:hAnsi="Perpetua" w:cs="Times New Roman"/>
        </w:rPr>
        <w:t>articolo 2 “</w:t>
      </w:r>
      <w:r w:rsidRPr="004D724D">
        <w:rPr>
          <w:rFonts w:ascii="Perpetua" w:hAnsi="Perpetua" w:cs="Times New Roman"/>
          <w:i/>
          <w:iCs/>
        </w:rPr>
        <w:t>Definizione delle componenti di costo e approvazione del metodo tariffario</w:t>
      </w:r>
      <w:r w:rsidRPr="004D724D">
        <w:rPr>
          <w:rFonts w:ascii="Perpetua" w:hAnsi="Perpetua" w:cs="Times New Roman"/>
        </w:rPr>
        <w:t>” che così recita: «</w:t>
      </w:r>
      <w:r w:rsidRPr="004D724D">
        <w:rPr>
          <w:rFonts w:ascii="Perpetua" w:hAnsi="Perpetua" w:cs="Times New Roman"/>
          <w:b/>
          <w:bCs/>
          <w:i/>
          <w:iCs/>
        </w:rPr>
        <w:t xml:space="preserve">2.1 </w:t>
      </w:r>
      <w:r w:rsidRPr="004D724D">
        <w:rPr>
          <w:rFonts w:ascii="Perpetua" w:hAnsi="Perpetua" w:cs="Times New Roman"/>
          <w:i/>
          <w:iCs/>
        </w:rPr>
        <w:t>Ai fini della determinazione delle entrate di riferimento sono definite le seguenti componenti tariffarie del servizio i</w:t>
      </w:r>
      <w:r w:rsidRPr="004D724D">
        <w:rPr>
          <w:rFonts w:ascii="Perpetua" w:hAnsi="Perpetua" w:cs="Times New Roman"/>
          <w:i/>
          <w:iCs/>
        </w:rPr>
        <w:t>n</w:t>
      </w:r>
      <w:r w:rsidRPr="004D724D">
        <w:rPr>
          <w:rFonts w:ascii="Perpetua" w:hAnsi="Perpetua" w:cs="Times New Roman"/>
          <w:i/>
          <w:iCs/>
        </w:rPr>
        <w:t>tegrato di gestione dei rifiuti urbani: a) costi operativi, intesi come somma dei costi operativi di gestione delle att</w:t>
      </w:r>
      <w:r w:rsidRPr="004D724D">
        <w:rPr>
          <w:rFonts w:ascii="Perpetua" w:hAnsi="Perpetua" w:cs="Times New Roman"/>
          <w:i/>
          <w:iCs/>
        </w:rPr>
        <w:t>i</w:t>
      </w:r>
      <w:r w:rsidRPr="004D724D">
        <w:rPr>
          <w:rFonts w:ascii="Perpetua" w:hAnsi="Perpetua" w:cs="Times New Roman"/>
          <w:i/>
          <w:iCs/>
        </w:rPr>
        <w:lastRenderedPageBreak/>
        <w:t>vità di spazzamento e di lavaggio, di raccolta e di trasporto di rifiuti urbani indifferenziati, di trattamento e di smaltimento, di raccolta e di trasporto delle frazioni differenziate, di trattamento e di recupero, nonché di oneri i</w:t>
      </w:r>
      <w:r w:rsidRPr="004D724D">
        <w:rPr>
          <w:rFonts w:ascii="Perpetua" w:hAnsi="Perpetua" w:cs="Times New Roman"/>
          <w:i/>
          <w:iCs/>
        </w:rPr>
        <w:t>n</w:t>
      </w:r>
      <w:r w:rsidRPr="004D724D">
        <w:rPr>
          <w:rFonts w:ascii="Perpetua" w:hAnsi="Perpetua" w:cs="Times New Roman"/>
          <w:i/>
          <w:iCs/>
        </w:rPr>
        <w:t>centivanti il miglioramento delle prestazioni; b) costi d’uso del capitale, intesi come somma degli ammortamenti delle immobilizzazioni, degli accantonamenti ammessi al riconoscimento tariffario, della remunerazione del capit</w:t>
      </w:r>
      <w:r w:rsidRPr="004D724D">
        <w:rPr>
          <w:rFonts w:ascii="Perpetua" w:hAnsi="Perpetua" w:cs="Times New Roman"/>
          <w:i/>
          <w:iCs/>
        </w:rPr>
        <w:t>a</w:t>
      </w:r>
      <w:r w:rsidRPr="004D724D">
        <w:rPr>
          <w:rFonts w:ascii="Perpetua" w:hAnsi="Perpetua" w:cs="Times New Roman"/>
          <w:i/>
          <w:iCs/>
        </w:rPr>
        <w:t>le investito netto riconosciuto e della remunerazione delle immobilizzazioni in corso; c) componenti a conguaglio relative alle annualità pregresse</w:t>
      </w:r>
      <w:r w:rsidRPr="004D724D">
        <w:rPr>
          <w:rFonts w:ascii="Perpetua" w:hAnsi="Perpetua" w:cs="Times New Roman"/>
          <w:i/>
          <w:iCs/>
          <w:color w:val="FF0000"/>
        </w:rPr>
        <w:t xml:space="preserve">. </w:t>
      </w:r>
      <w:r w:rsidRPr="004D724D">
        <w:rPr>
          <w:rFonts w:ascii="Perpetua" w:hAnsi="Perpetua" w:cs="Times New Roman"/>
          <w:b/>
          <w:bCs/>
          <w:i/>
          <w:iCs/>
        </w:rPr>
        <w:t xml:space="preserve">2.2 </w:t>
      </w:r>
      <w:r w:rsidRPr="004D724D">
        <w:rPr>
          <w:rFonts w:ascii="Perpetua" w:hAnsi="Perpetua" w:cs="Times New Roman"/>
          <w:i/>
          <w:iCs/>
        </w:rPr>
        <w:t xml:space="preserve">Per la determinazione delle tariffe di accesso agli impianti di trattamento si applicano, in coerenza con quanto stabilito al precedente comma, le medesime definizioni relative ai costi ammessi a riconoscimento, qualora pertinenti. </w:t>
      </w:r>
      <w:r w:rsidRPr="004D724D">
        <w:rPr>
          <w:rFonts w:ascii="Perpetua" w:hAnsi="Perpetua" w:cs="Times New Roman"/>
          <w:b/>
          <w:bCs/>
          <w:i/>
          <w:iCs/>
        </w:rPr>
        <w:t xml:space="preserve">2.3 </w:t>
      </w:r>
      <w:r w:rsidRPr="004D724D">
        <w:rPr>
          <w:rFonts w:ascii="Perpetua" w:hAnsi="Perpetua" w:cs="Times New Roman"/>
          <w:i/>
          <w:iCs/>
        </w:rPr>
        <w:t xml:space="preserve">La determinazione delle componenti tariffarie di cui ai precedenti commi è effettuata in conformità al Metodo Tariffario Rifiuti per il secondo periodo regolatorio, di cui all’Allegato A alla presente deliberazione (di seguito MTR-2), ovvero sulla base del relativo aggiornamento biennale.» </w:t>
      </w:r>
    </w:p>
    <w:p w:rsidR="005F5BA6" w:rsidRPr="004D724D" w:rsidRDefault="005F5BA6" w:rsidP="004D724D">
      <w:pPr>
        <w:pStyle w:val="Default"/>
        <w:numPr>
          <w:ilvl w:val="0"/>
          <w:numId w:val="16"/>
        </w:numPr>
        <w:spacing w:line="360" w:lineRule="auto"/>
        <w:jc w:val="both"/>
        <w:rPr>
          <w:rFonts w:ascii="Perpetua" w:hAnsi="Perpetua" w:cs="Times New Roman"/>
        </w:rPr>
      </w:pPr>
      <w:r w:rsidRPr="004D724D">
        <w:rPr>
          <w:rFonts w:ascii="Perpetua" w:hAnsi="Perpetua" w:cs="Times New Roman"/>
        </w:rPr>
        <w:t>articolo 3, che introduce la determinazione di tariffe di accesso agli impianti di trattamento in grado di stimolare innovazione tecnologica e migliori performance ambientali quale misura di sostegno allo sv</w:t>
      </w:r>
      <w:r w:rsidRPr="004D724D">
        <w:rPr>
          <w:rFonts w:ascii="Perpetua" w:hAnsi="Perpetua" w:cs="Times New Roman"/>
        </w:rPr>
        <w:t>i</w:t>
      </w:r>
      <w:r w:rsidRPr="004D724D">
        <w:rPr>
          <w:rFonts w:ascii="Perpetua" w:hAnsi="Perpetua" w:cs="Times New Roman"/>
        </w:rPr>
        <w:t xml:space="preserve">luppo di un adeguato sistema infrastrutturale, necessario al conseguimento dei benefici della </w:t>
      </w:r>
      <w:proofErr w:type="spellStart"/>
      <w:r w:rsidRPr="004D724D">
        <w:rPr>
          <w:rFonts w:ascii="Perpetua" w:hAnsi="Perpetua" w:cs="Times New Roman"/>
          <w:i/>
          <w:iCs/>
        </w:rPr>
        <w:t>Circular</w:t>
      </w:r>
      <w:proofErr w:type="spellEnd"/>
      <w:r w:rsidRPr="004D724D">
        <w:rPr>
          <w:rFonts w:ascii="Perpetua" w:hAnsi="Perpetua" w:cs="Times New Roman"/>
          <w:i/>
          <w:iCs/>
        </w:rPr>
        <w:t xml:space="preserve"> Economy </w:t>
      </w:r>
      <w:r w:rsidRPr="004D724D">
        <w:rPr>
          <w:rFonts w:ascii="Perpetua" w:hAnsi="Perpetua" w:cs="Times New Roman"/>
        </w:rPr>
        <w:t>e per la determinazione tariffaria di accesso agli stessi li classifica in “integrati”, “minimi” e “a</w:t>
      </w:r>
      <w:r w:rsidRPr="004D724D">
        <w:rPr>
          <w:rFonts w:ascii="Perpetua" w:hAnsi="Perpetua" w:cs="Times New Roman"/>
        </w:rPr>
        <w:t>g</w:t>
      </w:r>
      <w:r w:rsidRPr="004D724D">
        <w:rPr>
          <w:rFonts w:ascii="Perpetua" w:hAnsi="Perpetua" w:cs="Times New Roman"/>
        </w:rPr>
        <w:t xml:space="preserve">giuntivi” </w:t>
      </w:r>
    </w:p>
    <w:p w:rsidR="005F5BA6" w:rsidRPr="004D724D" w:rsidRDefault="005F5BA6" w:rsidP="004D724D">
      <w:pPr>
        <w:pStyle w:val="Default"/>
        <w:numPr>
          <w:ilvl w:val="0"/>
          <w:numId w:val="16"/>
        </w:numPr>
        <w:spacing w:line="360" w:lineRule="auto"/>
        <w:jc w:val="both"/>
        <w:rPr>
          <w:rFonts w:ascii="Perpetua" w:hAnsi="Perpetua" w:cs="Times New Roman"/>
        </w:rPr>
      </w:pPr>
      <w:r w:rsidRPr="004D724D">
        <w:rPr>
          <w:rFonts w:ascii="Perpetua" w:hAnsi="Perpetua" w:cs="Times New Roman"/>
        </w:rPr>
        <w:t>articolo 4 “</w:t>
      </w:r>
      <w:r w:rsidRPr="004D724D">
        <w:rPr>
          <w:rFonts w:ascii="Perpetua" w:hAnsi="Perpetua" w:cs="Times New Roman"/>
          <w:i/>
          <w:iCs/>
        </w:rPr>
        <w:t>Determinazione delle entrate tariffarie e dei corrispettivi per l’utenza finale</w:t>
      </w:r>
      <w:r w:rsidRPr="004D724D">
        <w:rPr>
          <w:rFonts w:ascii="Perpetua" w:hAnsi="Perpetua" w:cs="Times New Roman"/>
        </w:rPr>
        <w:t>” che così recita: «</w:t>
      </w:r>
      <w:r w:rsidRPr="004D724D">
        <w:rPr>
          <w:rFonts w:ascii="Perpetua" w:hAnsi="Perpetua" w:cs="Times New Roman"/>
          <w:i/>
          <w:iCs/>
        </w:rPr>
        <w:t xml:space="preserve">4.1 La determinazione delle entrate tariffarie avviene sulla base di dati certi, verificabili e desumibili da fonti contabili obbligatorie, nonché in funzione della copertura di oneri attesi connessi a specifiche finalità di miglioramento delle prestazioni. 4.2 Le entrate tariffarie determinate per ciascuna annualità 2022, 2023, 2024 e 2025 non possono eccedere quelle relative all’anno precedente, più del limite alla variazione annuale, che tiene conto, ai sensi dell’Articolo 4 del MTR-2: a) del tasso di inflazione programmata; b) del miglioramento della produttività; c) del miglioramento previsto della qualità e delle caratteristiche delle prestazioni erogate agli utenti; d) delle modifiche del perimetro gestionale, con riferimento ad aspetti tecnici e/o operativi. </w:t>
      </w:r>
      <w:r w:rsidRPr="004D724D">
        <w:rPr>
          <w:rFonts w:ascii="Perpetua" w:hAnsi="Perpetua" w:cs="Times New Roman"/>
          <w:b/>
          <w:bCs/>
          <w:i/>
          <w:iCs/>
        </w:rPr>
        <w:t xml:space="preserve">4.3 </w:t>
      </w:r>
      <w:r w:rsidRPr="004D724D">
        <w:rPr>
          <w:rFonts w:ascii="Perpetua" w:hAnsi="Perpetua" w:cs="Times New Roman"/>
          <w:i/>
          <w:iCs/>
        </w:rPr>
        <w:t>Qualora l’Ente territorialmente co</w:t>
      </w:r>
      <w:r w:rsidRPr="004D724D">
        <w:rPr>
          <w:rFonts w:ascii="Perpetua" w:hAnsi="Perpetua" w:cs="Times New Roman"/>
          <w:i/>
          <w:iCs/>
        </w:rPr>
        <w:t>m</w:t>
      </w:r>
      <w:r w:rsidRPr="004D724D">
        <w:rPr>
          <w:rFonts w:ascii="Perpetua" w:hAnsi="Perpetua" w:cs="Times New Roman"/>
          <w:i/>
          <w:iCs/>
        </w:rPr>
        <w:t xml:space="preserve">petente non individui obiettivi di miglioramento della qualità e delle caratteristiche delle prestazioni erogate e non preveda modifiche al perimetro gestionale, le entrate tariffarie possono essere incrementate, al massimo, per il valore corrispondente alla differenza tra il tasso di inflazione programmata e il miglioramento della produttività, salvo i casi in cui si ravvisi la necessità di copertura degli scostamenti attesi riconducibili alle novità normative introdotte dal decreto legislativo </w:t>
      </w:r>
      <w:r w:rsidR="009D1AE5">
        <w:rPr>
          <w:rFonts w:ascii="Perpetua" w:hAnsi="Perpetua" w:cs="Times New Roman"/>
          <w:i/>
          <w:iCs/>
        </w:rPr>
        <w:t xml:space="preserve">n. </w:t>
      </w:r>
      <w:r w:rsidRPr="004D724D">
        <w:rPr>
          <w:rFonts w:ascii="Perpetua" w:hAnsi="Perpetua" w:cs="Times New Roman"/>
          <w:i/>
          <w:iCs/>
        </w:rPr>
        <w:t xml:space="preserve">116/20, in materia di qualificazione dei rifiuti prodotti da utenze non domestiche e di possibilità per tale tipologia di utenza di conferire i rifiuti urbani al di fuori del servizio pubblico. </w:t>
      </w:r>
      <w:r w:rsidRPr="004D724D">
        <w:rPr>
          <w:rFonts w:ascii="Perpetua" w:hAnsi="Perpetua" w:cs="Times New Roman"/>
          <w:b/>
          <w:bCs/>
          <w:i/>
          <w:iCs/>
        </w:rPr>
        <w:t xml:space="preserve">4.4 </w:t>
      </w:r>
      <w:r w:rsidRPr="004D724D">
        <w:rPr>
          <w:rFonts w:ascii="Perpetua" w:hAnsi="Perpetua" w:cs="Times New Roman"/>
          <w:i/>
          <w:iCs/>
        </w:rPr>
        <w:t>Nel caso in cui l’Ente territorialmente competente ritenga necessario, per il raggiungimento degli obiettivi migliorativi definiti o per il superamento di situazioni di squilibrio economico e finanziario, il superamento del limite di cui al prec</w:t>
      </w:r>
      <w:r w:rsidRPr="004D724D">
        <w:rPr>
          <w:rFonts w:ascii="Perpetua" w:hAnsi="Perpetua" w:cs="Times New Roman"/>
          <w:i/>
          <w:iCs/>
        </w:rPr>
        <w:t>e</w:t>
      </w:r>
      <w:r w:rsidRPr="004D724D">
        <w:rPr>
          <w:rFonts w:ascii="Perpetua" w:hAnsi="Perpetua" w:cs="Times New Roman"/>
          <w:i/>
          <w:iCs/>
        </w:rPr>
        <w:t>dente comma 4.2, presenta all’Autorità, per i seguiti di competenza, una relazione attestando le valutazioni co</w:t>
      </w:r>
      <w:r w:rsidRPr="004D724D">
        <w:rPr>
          <w:rFonts w:ascii="Perpetua" w:hAnsi="Perpetua" w:cs="Times New Roman"/>
          <w:i/>
          <w:iCs/>
        </w:rPr>
        <w:t>m</w:t>
      </w:r>
      <w:r w:rsidRPr="004D724D">
        <w:rPr>
          <w:rFonts w:ascii="Perpetua" w:hAnsi="Perpetua" w:cs="Times New Roman"/>
          <w:i/>
          <w:iCs/>
        </w:rPr>
        <w:t xml:space="preserve">piute come specificato nel citato Articolo 4 del MTR-2. </w:t>
      </w:r>
      <w:r w:rsidRPr="004D724D">
        <w:rPr>
          <w:rFonts w:ascii="Perpetua" w:hAnsi="Perpetua" w:cs="Times New Roman"/>
          <w:b/>
          <w:bCs/>
          <w:i/>
          <w:iCs/>
        </w:rPr>
        <w:t xml:space="preserve">4.5 </w:t>
      </w:r>
      <w:r w:rsidRPr="004D724D">
        <w:rPr>
          <w:rFonts w:ascii="Perpetua" w:hAnsi="Perpetua" w:cs="Times New Roman"/>
          <w:i/>
          <w:iCs/>
        </w:rPr>
        <w:t xml:space="preserve">In ciascuna annualità 2022, 2023, 2024 e 2025, a </w:t>
      </w:r>
      <w:r w:rsidRPr="004D724D">
        <w:rPr>
          <w:rFonts w:ascii="Perpetua" w:hAnsi="Perpetua" w:cs="Times New Roman"/>
          <w:i/>
          <w:iCs/>
        </w:rPr>
        <w:lastRenderedPageBreak/>
        <w:t>partire dalle entrate relative alle componenti di costo variabile e di quelle relative alle componenti di costo fisso i</w:t>
      </w:r>
      <w:r w:rsidRPr="004D724D">
        <w:rPr>
          <w:rFonts w:ascii="Perpetua" w:hAnsi="Perpetua" w:cs="Times New Roman"/>
          <w:i/>
          <w:iCs/>
        </w:rPr>
        <w:t>n</w:t>
      </w:r>
      <w:r w:rsidRPr="004D724D">
        <w:rPr>
          <w:rFonts w:ascii="Perpetua" w:hAnsi="Perpetua" w:cs="Times New Roman"/>
          <w:i/>
          <w:iCs/>
        </w:rPr>
        <w:t xml:space="preserve">dividuate sulla base delle disposizioni di cui al MTR-2 e risultanti dal piano economico finanziario predisposto per le medesime annualità, sono definiti l’attribuzione dei costi tra utenze domestiche e non domestiche e i corrispettivi da applicare all’utenza finale, secondo quanto previsto all’Articolo 6 del MTR-2. </w:t>
      </w:r>
      <w:r w:rsidRPr="004D724D">
        <w:rPr>
          <w:rFonts w:ascii="Perpetua" w:hAnsi="Perpetua" w:cs="Times New Roman"/>
          <w:b/>
          <w:bCs/>
          <w:i/>
          <w:iCs/>
        </w:rPr>
        <w:t xml:space="preserve">4.6 </w:t>
      </w:r>
      <w:r w:rsidRPr="004D724D">
        <w:rPr>
          <w:rFonts w:ascii="Perpetua" w:hAnsi="Perpetua" w:cs="Times New Roman"/>
          <w:i/>
          <w:iCs/>
        </w:rPr>
        <w:t>In attuazione dell’articolo 2, comma 17, della legge 481/95, le entrate tariffarie determinate ai sensi del MTR-2 sono considerate come valori massimi. È comunque possibile, in caso di equilibrio economico finanziario della gestione, applicare valori inferiori, indicando, con riferimento al piano economico finanziario, le componenti di costo ammissibili ai sensi della disc</w:t>
      </w:r>
      <w:r w:rsidRPr="004D724D">
        <w:rPr>
          <w:rFonts w:ascii="Perpetua" w:hAnsi="Perpetua" w:cs="Times New Roman"/>
          <w:i/>
          <w:iCs/>
        </w:rPr>
        <w:t>i</w:t>
      </w:r>
      <w:r w:rsidRPr="004D724D">
        <w:rPr>
          <w:rFonts w:ascii="Perpetua" w:hAnsi="Perpetua" w:cs="Times New Roman"/>
          <w:i/>
          <w:iCs/>
        </w:rPr>
        <w:t>plina tariffaria che non si ritengono di coprire integralmente, al fine di verificare la coerenza con gli obiettivi def</w:t>
      </w:r>
      <w:r w:rsidRPr="004D724D">
        <w:rPr>
          <w:rFonts w:ascii="Perpetua" w:hAnsi="Perpetua" w:cs="Times New Roman"/>
          <w:i/>
          <w:iCs/>
        </w:rPr>
        <w:t>i</w:t>
      </w:r>
      <w:r w:rsidRPr="004D724D">
        <w:rPr>
          <w:rFonts w:ascii="Perpetua" w:hAnsi="Perpetua" w:cs="Times New Roman"/>
          <w:i/>
          <w:iCs/>
        </w:rPr>
        <w:t>niti</w:t>
      </w:r>
      <w:r w:rsidRPr="004D724D">
        <w:rPr>
          <w:rFonts w:ascii="Perpetua" w:hAnsi="Perpetua" w:cs="Times New Roman"/>
          <w:b/>
          <w:bCs/>
          <w:i/>
          <w:iCs/>
        </w:rPr>
        <w:t>.</w:t>
      </w:r>
      <w:r w:rsidRPr="004D724D">
        <w:rPr>
          <w:rFonts w:ascii="Perpetua" w:hAnsi="Perpetua" w:cs="Times New Roman"/>
          <w:i/>
          <w:iCs/>
        </w:rPr>
        <w:t xml:space="preserve">» </w:t>
      </w:r>
    </w:p>
    <w:p w:rsidR="005F5BA6" w:rsidRPr="004D724D" w:rsidRDefault="005F5BA6" w:rsidP="004D724D">
      <w:pPr>
        <w:pStyle w:val="Default"/>
        <w:numPr>
          <w:ilvl w:val="0"/>
          <w:numId w:val="15"/>
        </w:numPr>
        <w:spacing w:line="360" w:lineRule="auto"/>
        <w:jc w:val="both"/>
        <w:rPr>
          <w:rFonts w:ascii="Perpetua" w:hAnsi="Perpetua" w:cs="Times New Roman"/>
        </w:rPr>
      </w:pPr>
      <w:r w:rsidRPr="004D724D">
        <w:rPr>
          <w:rFonts w:ascii="Perpetua" w:hAnsi="Perpetua" w:cs="Times New Roman"/>
        </w:rPr>
        <w:t xml:space="preserve">articolo 5 che definisce le modalità di determinazione delle tariffe di accesso agli impianti per ciascuna annualità del quadriennio 2022-2025 in relazione alla loro tipologia; </w:t>
      </w:r>
    </w:p>
    <w:p w:rsidR="00E557FB" w:rsidRPr="004D724D" w:rsidRDefault="005F5BA6" w:rsidP="004D724D">
      <w:pPr>
        <w:pStyle w:val="Default"/>
        <w:numPr>
          <w:ilvl w:val="0"/>
          <w:numId w:val="15"/>
        </w:numPr>
        <w:spacing w:line="360" w:lineRule="auto"/>
        <w:jc w:val="both"/>
        <w:rPr>
          <w:rFonts w:ascii="Perpetua" w:hAnsi="Perpetua" w:cs="Times New Roman"/>
          <w:i/>
          <w:iCs/>
        </w:rPr>
      </w:pPr>
      <w:r w:rsidRPr="004D724D">
        <w:rPr>
          <w:rFonts w:ascii="Perpetua" w:hAnsi="Perpetua" w:cs="Times New Roman"/>
        </w:rPr>
        <w:t>articolo 7 “</w:t>
      </w:r>
      <w:r w:rsidRPr="004D724D">
        <w:rPr>
          <w:rFonts w:ascii="Perpetua" w:hAnsi="Perpetua" w:cs="Times New Roman"/>
          <w:i/>
          <w:iCs/>
        </w:rPr>
        <w:t>Procedura di approvazione</w:t>
      </w:r>
      <w:r w:rsidRPr="004D724D">
        <w:rPr>
          <w:rFonts w:ascii="Perpetua" w:hAnsi="Perpetua" w:cs="Times New Roman"/>
        </w:rPr>
        <w:t>” che così recita: «</w:t>
      </w:r>
      <w:r w:rsidRPr="004D724D">
        <w:rPr>
          <w:rFonts w:ascii="Perpetua" w:hAnsi="Perpetua" w:cs="Times New Roman"/>
          <w:b/>
          <w:bCs/>
          <w:i/>
          <w:iCs/>
        </w:rPr>
        <w:t xml:space="preserve">7.1 </w:t>
      </w:r>
      <w:r w:rsidRPr="004D724D">
        <w:rPr>
          <w:rFonts w:ascii="Perpetua" w:hAnsi="Perpetua" w:cs="Times New Roman"/>
          <w:i/>
          <w:iCs/>
        </w:rPr>
        <w:t>Ai fini della determinazione delle entrate tariffarie di riferimento, il gestore predispone il piano economico finanziario per il periodo 2022-2025, secondo quanto pr</w:t>
      </w:r>
      <w:r w:rsidRPr="004D724D">
        <w:rPr>
          <w:rFonts w:ascii="Perpetua" w:hAnsi="Perpetua" w:cs="Times New Roman"/>
          <w:i/>
          <w:iCs/>
        </w:rPr>
        <w:t>e</w:t>
      </w:r>
      <w:r w:rsidRPr="004D724D">
        <w:rPr>
          <w:rFonts w:ascii="Perpetua" w:hAnsi="Perpetua" w:cs="Times New Roman"/>
          <w:i/>
          <w:iCs/>
        </w:rPr>
        <w:t xml:space="preserve">visto dal MTR-2, e lo trasmette all’Ente territorialmente competente. </w:t>
      </w:r>
      <w:r w:rsidRPr="004D724D">
        <w:rPr>
          <w:rFonts w:ascii="Perpetua" w:hAnsi="Perpetua" w:cs="Times New Roman"/>
          <w:b/>
          <w:bCs/>
          <w:i/>
          <w:iCs/>
        </w:rPr>
        <w:t xml:space="preserve">7.2 </w:t>
      </w:r>
      <w:r w:rsidRPr="004D724D">
        <w:rPr>
          <w:rFonts w:ascii="Perpetua" w:hAnsi="Perpetua" w:cs="Times New Roman"/>
          <w:i/>
          <w:iCs/>
        </w:rPr>
        <w:t>Ai fini della definizione delle tariffe di accesso agli impianti di chiusura del ciclo “minimi”, ovvero agli impianti “intermedi” da cui provengano flussi ind</w:t>
      </w:r>
      <w:r w:rsidRPr="004D724D">
        <w:rPr>
          <w:rFonts w:ascii="Perpetua" w:hAnsi="Perpetua" w:cs="Times New Roman"/>
          <w:i/>
          <w:iCs/>
        </w:rPr>
        <w:t>i</w:t>
      </w:r>
      <w:r w:rsidRPr="004D724D">
        <w:rPr>
          <w:rFonts w:ascii="Perpetua" w:hAnsi="Perpetua" w:cs="Times New Roman"/>
          <w:i/>
          <w:iCs/>
        </w:rPr>
        <w:t>cati come in ingresso a impianti di chiusura del ciclo “minimi, secondo quanto previsto al precedente Articolo 5, il gestore di tali attività predispone il piano economico finanziario per il periodo 2022-2025, secondo quanto prev</w:t>
      </w:r>
      <w:r w:rsidRPr="004D724D">
        <w:rPr>
          <w:rFonts w:ascii="Perpetua" w:hAnsi="Perpetua" w:cs="Times New Roman"/>
          <w:i/>
          <w:iCs/>
        </w:rPr>
        <w:t>i</w:t>
      </w:r>
      <w:r w:rsidRPr="004D724D">
        <w:rPr>
          <w:rFonts w:ascii="Perpetua" w:hAnsi="Perpetua" w:cs="Times New Roman"/>
          <w:i/>
          <w:iCs/>
        </w:rPr>
        <w:t>sto dal MTR-2, e lo trasmette al soggetto competente, rappresentato dalla Regione o da un altro Ente dalla med</w:t>
      </w:r>
      <w:r w:rsidRPr="004D724D">
        <w:rPr>
          <w:rFonts w:ascii="Perpetua" w:hAnsi="Perpetua" w:cs="Times New Roman"/>
          <w:i/>
          <w:iCs/>
        </w:rPr>
        <w:t>e</w:t>
      </w:r>
      <w:r w:rsidRPr="004D724D">
        <w:rPr>
          <w:rFonts w:ascii="Perpetua" w:hAnsi="Perpetua" w:cs="Times New Roman"/>
          <w:i/>
          <w:iCs/>
        </w:rPr>
        <w:t xml:space="preserve">sima individuato. </w:t>
      </w:r>
      <w:r w:rsidRPr="004D724D">
        <w:rPr>
          <w:rFonts w:ascii="Perpetua" w:hAnsi="Perpetua" w:cs="Times New Roman"/>
          <w:b/>
          <w:bCs/>
          <w:i/>
          <w:iCs/>
        </w:rPr>
        <w:t xml:space="preserve">7.3 </w:t>
      </w:r>
      <w:r w:rsidRPr="004D724D">
        <w:rPr>
          <w:rFonts w:ascii="Perpetua" w:hAnsi="Perpetua" w:cs="Times New Roman"/>
          <w:i/>
          <w:iCs/>
        </w:rPr>
        <w:t>Il piano economico finanziario di cui al comma 7.1, nonché quello di cui al comma 7.2, s</w:t>
      </w:r>
      <w:r w:rsidRPr="004D724D">
        <w:rPr>
          <w:rFonts w:ascii="Perpetua" w:hAnsi="Perpetua" w:cs="Times New Roman"/>
          <w:i/>
          <w:iCs/>
        </w:rPr>
        <w:t>o</w:t>
      </w:r>
      <w:r w:rsidRPr="004D724D">
        <w:rPr>
          <w:rFonts w:ascii="Perpetua" w:hAnsi="Perpetua" w:cs="Times New Roman"/>
          <w:i/>
          <w:iCs/>
        </w:rPr>
        <w:t>no soggetti ad aggiornamento biennale secondo la procedura di cui al successivo Articolo 8, e sono corredati dalle informazioni e dagli atti necessari alla validazione dei dati impiegati e, in particolare, da: a) una dichiarazione, ai sensi del d.P.R. 445/00, sottoscritta dal legale rappresentante, attestante la veridicità dei dati trasmessi e la corrispondenza tra i valori riportati nella modulistica con i valori desumibili dalla documentazione contabile di r</w:t>
      </w:r>
      <w:r w:rsidRPr="004D724D">
        <w:rPr>
          <w:rFonts w:ascii="Perpetua" w:hAnsi="Perpetua" w:cs="Times New Roman"/>
          <w:i/>
          <w:iCs/>
        </w:rPr>
        <w:t>i</w:t>
      </w:r>
      <w:r w:rsidRPr="004D724D">
        <w:rPr>
          <w:rFonts w:ascii="Perpetua" w:hAnsi="Perpetua" w:cs="Times New Roman"/>
          <w:i/>
          <w:iCs/>
        </w:rPr>
        <w:t>ferimento tenuta ai sensi di legge; b) una relazione che illustra sia i criteri di corrispondenza tra i valori riportati nella modulistica con i valori desumibili dalla documentazione contabile, sia le evidenze contabili sottostanti; c) eventuali ulteriori elementi richiesti dall’Ente territorialmente competente, di cui al 7.1, ovvero dal soggetto co</w:t>
      </w:r>
      <w:r w:rsidRPr="004D724D">
        <w:rPr>
          <w:rFonts w:ascii="Perpetua" w:hAnsi="Perpetua" w:cs="Times New Roman"/>
          <w:i/>
          <w:iCs/>
        </w:rPr>
        <w:t>m</w:t>
      </w:r>
      <w:r w:rsidRPr="004D724D">
        <w:rPr>
          <w:rFonts w:ascii="Perpetua" w:hAnsi="Perpetua" w:cs="Times New Roman"/>
          <w:i/>
          <w:iCs/>
        </w:rPr>
        <w:t xml:space="preserve">petente di cui comma 7.2. </w:t>
      </w:r>
      <w:r w:rsidRPr="004D724D">
        <w:rPr>
          <w:rFonts w:ascii="Perpetua" w:hAnsi="Perpetua" w:cs="Times New Roman"/>
          <w:b/>
          <w:bCs/>
          <w:i/>
          <w:iCs/>
        </w:rPr>
        <w:t xml:space="preserve">7.4 </w:t>
      </w:r>
      <w:r w:rsidRPr="004D724D">
        <w:rPr>
          <w:rFonts w:ascii="Perpetua" w:hAnsi="Perpetua" w:cs="Times New Roman"/>
          <w:i/>
          <w:iCs/>
        </w:rPr>
        <w:t>Gli organismi competenti di cui ai commi 7.1 e 7.2, fermi restando i necessari pr</w:t>
      </w:r>
      <w:r w:rsidRPr="004D724D">
        <w:rPr>
          <w:rFonts w:ascii="Perpetua" w:hAnsi="Perpetua" w:cs="Times New Roman"/>
          <w:i/>
          <w:iCs/>
        </w:rPr>
        <w:t>o</w:t>
      </w:r>
      <w:r w:rsidRPr="004D724D">
        <w:rPr>
          <w:rFonts w:ascii="Perpetua" w:hAnsi="Perpetua" w:cs="Times New Roman"/>
          <w:i/>
          <w:iCs/>
        </w:rPr>
        <w:t xml:space="preserve">fili di terzietà rispetto al gestore, come precisati all’Articolo 28 del MTR-2, validano le informazioni fornite dal gestore medesimo e le integrano o le modificano secondo criteri funzionali al riconoscimento dei costi efficienti di investimento e di esercizio. La procedura di validazione consiste nella verifica della completezza, della coerenza e della congruità dei dati e delle informazioni necessari alla elaborazione del piano economico finanziario. </w:t>
      </w:r>
      <w:r w:rsidRPr="004D724D">
        <w:rPr>
          <w:rFonts w:ascii="Perpetua" w:hAnsi="Perpetua" w:cs="Times New Roman"/>
          <w:b/>
          <w:bCs/>
          <w:i/>
          <w:iCs/>
        </w:rPr>
        <w:t xml:space="preserve">7.5 </w:t>
      </w:r>
      <w:r w:rsidRPr="004D724D">
        <w:rPr>
          <w:rFonts w:ascii="Perpetua" w:hAnsi="Perpetua" w:cs="Times New Roman"/>
          <w:i/>
          <w:iCs/>
        </w:rPr>
        <w:t xml:space="preserve">Gli organismi competenti di cui ai commi 7.1 e 7.2 assumono le pertinenti determinazioni e provvedono a trasmettere all’Autorità: a) la predisposizione del piano economico finanziario per il periodo 2022- 2025; b) con riferimento </w:t>
      </w:r>
      <w:r w:rsidRPr="004D724D">
        <w:rPr>
          <w:rFonts w:ascii="Perpetua" w:hAnsi="Perpetua" w:cs="Times New Roman"/>
          <w:i/>
          <w:iCs/>
        </w:rPr>
        <w:lastRenderedPageBreak/>
        <w:t xml:space="preserve">all’anno 2022, i corrispettivi del servizio integrato dei rifiuti, ovvero le tariffe di accesso agli impianti di chiusura del ciclo “minimi”, o agli impianti “intermedi” da cui provengano flussi indicati come in ingresso a impianti di chiusura del ciclo “minimi”. </w:t>
      </w:r>
      <w:r w:rsidRPr="004D724D">
        <w:rPr>
          <w:rFonts w:ascii="Perpetua" w:hAnsi="Perpetua" w:cs="Times New Roman"/>
          <w:b/>
          <w:bCs/>
          <w:i/>
          <w:iCs/>
        </w:rPr>
        <w:t xml:space="preserve">7.6 </w:t>
      </w:r>
      <w:r w:rsidRPr="004D724D">
        <w:rPr>
          <w:rFonts w:ascii="Perpetua" w:hAnsi="Perpetua" w:cs="Times New Roman"/>
          <w:i/>
          <w:iCs/>
        </w:rPr>
        <w:t xml:space="preserve">La trasmissione </w:t>
      </w:r>
      <w:r w:rsidR="00E557FB" w:rsidRPr="004D724D">
        <w:rPr>
          <w:rFonts w:ascii="Perpetua" w:hAnsi="Perpetua" w:cs="Times New Roman"/>
          <w:i/>
          <w:iCs/>
        </w:rPr>
        <w:t>all’Autorità di cui al precedente comma 7.5, avviene: a) da parte dell’Ente territorialmente competente di cui al comma 7.1, entro 30 giorni dall’adozione delle pertinenti determ</w:t>
      </w:r>
      <w:r w:rsidR="00E557FB" w:rsidRPr="004D724D">
        <w:rPr>
          <w:rFonts w:ascii="Perpetua" w:hAnsi="Perpetua" w:cs="Times New Roman"/>
          <w:i/>
          <w:iCs/>
        </w:rPr>
        <w:t>i</w:t>
      </w:r>
      <w:r w:rsidR="00E557FB" w:rsidRPr="004D724D">
        <w:rPr>
          <w:rFonts w:ascii="Perpetua" w:hAnsi="Perpetua" w:cs="Times New Roman"/>
          <w:i/>
          <w:iCs/>
        </w:rPr>
        <w:t xml:space="preserve">nazioni ovvero dal termine stabilito dalla normativa statale di riferimento per l’approvazione della TARI riferita all’anno 2022; b) da parte del soggetto competente di cui al comma 7.2, entro il 30 aprile 2022. </w:t>
      </w:r>
      <w:r w:rsidR="00E557FB" w:rsidRPr="004D724D">
        <w:rPr>
          <w:rFonts w:ascii="Perpetua" w:hAnsi="Perpetua" w:cs="Times New Roman"/>
          <w:b/>
          <w:bCs/>
          <w:i/>
          <w:iCs/>
        </w:rPr>
        <w:t xml:space="preserve">7.7 </w:t>
      </w:r>
      <w:r w:rsidR="00E557FB" w:rsidRPr="004D724D">
        <w:rPr>
          <w:rFonts w:ascii="Perpetua" w:hAnsi="Perpetua" w:cs="Times New Roman"/>
          <w:i/>
          <w:iCs/>
        </w:rPr>
        <w:t>L’Autorità, salva la necessità di richiedere ulteriori informazioni, verifica la coerenza regolatoria degli atti, dei dati e della d</w:t>
      </w:r>
      <w:r w:rsidR="00E557FB" w:rsidRPr="004D724D">
        <w:rPr>
          <w:rFonts w:ascii="Perpetua" w:hAnsi="Perpetua" w:cs="Times New Roman"/>
          <w:i/>
          <w:iCs/>
        </w:rPr>
        <w:t>o</w:t>
      </w:r>
      <w:r w:rsidR="00E557FB" w:rsidRPr="004D724D">
        <w:rPr>
          <w:rFonts w:ascii="Perpetua" w:hAnsi="Perpetua" w:cs="Times New Roman"/>
          <w:i/>
          <w:iCs/>
        </w:rPr>
        <w:t>cumentazione trasmessa ai sensi del presente Articolo e, in caso di esito positivo, conseguentemente approva. In caso di approvazione con modificazioni, l’Autorità ne disciplina all’uopo gli effetti alla luce della normativa vigente, con particolare riferimento alla tutela degli utenti, tenuto conto dell’efficacia delle decisioni assunte dagli organ</w:t>
      </w:r>
      <w:r w:rsidR="00E557FB" w:rsidRPr="004D724D">
        <w:rPr>
          <w:rFonts w:ascii="Perpetua" w:hAnsi="Perpetua" w:cs="Times New Roman"/>
          <w:i/>
          <w:iCs/>
        </w:rPr>
        <w:t>i</w:t>
      </w:r>
      <w:r w:rsidR="00E557FB" w:rsidRPr="004D724D">
        <w:rPr>
          <w:rFonts w:ascii="Perpetua" w:hAnsi="Perpetua" w:cs="Times New Roman"/>
          <w:i/>
          <w:iCs/>
        </w:rPr>
        <w:t xml:space="preserve">smi competenti di cui ai commi 7.1 e 7.2, e delle misure volte ad assicurare la sostenibilità finanziaria efficiente della gestione. </w:t>
      </w:r>
      <w:r w:rsidR="00E557FB" w:rsidRPr="004D724D">
        <w:rPr>
          <w:rFonts w:ascii="Perpetua" w:hAnsi="Perpetua" w:cs="Times New Roman"/>
          <w:b/>
          <w:bCs/>
          <w:i/>
          <w:iCs/>
        </w:rPr>
        <w:t xml:space="preserve">7.8 </w:t>
      </w:r>
      <w:r w:rsidR="00E557FB" w:rsidRPr="004D724D">
        <w:rPr>
          <w:rFonts w:ascii="Perpetua" w:hAnsi="Perpetua" w:cs="Times New Roman"/>
          <w:i/>
          <w:iCs/>
        </w:rPr>
        <w:t>Fino all’approvazione da parte dell’Autorità di cui al comma precedente, si applicano, quali prezzi massimi del servizio, quelli determinati dagli organismi competenti di cui ai commi 7.1 e 7.2</w:t>
      </w:r>
      <w:r w:rsidR="00E557FB" w:rsidRPr="004D724D">
        <w:rPr>
          <w:rFonts w:ascii="Perpetua" w:hAnsi="Perpetua" w:cs="Times New Roman"/>
        </w:rPr>
        <w:t xml:space="preserve">.» </w:t>
      </w:r>
    </w:p>
    <w:p w:rsidR="00E557FB" w:rsidRPr="004D724D" w:rsidRDefault="00E557FB"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articolo 8 che fissa le modalità di aggiornamento biennale e revisione </w:t>
      </w:r>
      <w:r w:rsidRPr="004D724D">
        <w:rPr>
          <w:rFonts w:ascii="Perpetua" w:hAnsi="Perpetua" w:cs="Times New Roman"/>
          <w:i/>
          <w:iCs/>
        </w:rPr>
        <w:t xml:space="preserve">infra </w:t>
      </w:r>
      <w:r w:rsidRPr="004D724D">
        <w:rPr>
          <w:rFonts w:ascii="Perpetua" w:hAnsi="Perpetua" w:cs="Times New Roman"/>
        </w:rPr>
        <w:t>periodo della predisposizi</w:t>
      </w:r>
      <w:r w:rsidRPr="004D724D">
        <w:rPr>
          <w:rFonts w:ascii="Perpetua" w:hAnsi="Perpetua" w:cs="Times New Roman"/>
        </w:rPr>
        <w:t>o</w:t>
      </w:r>
      <w:r w:rsidRPr="004D724D">
        <w:rPr>
          <w:rFonts w:ascii="Perpetua" w:hAnsi="Perpetua" w:cs="Times New Roman"/>
        </w:rPr>
        <w:t xml:space="preserve">ne tariffaria; </w:t>
      </w:r>
    </w:p>
    <w:p w:rsidR="00E557FB" w:rsidRPr="004D724D" w:rsidRDefault="00E557FB"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articolo 9 che fissa la procedura in caso di inerzia del gestore nella trasmissione agli organismi comp</w:t>
      </w:r>
      <w:r w:rsidRPr="004D724D">
        <w:rPr>
          <w:rFonts w:ascii="Perpetua" w:hAnsi="Perpetua" w:cs="Times New Roman"/>
        </w:rPr>
        <w:t>e</w:t>
      </w:r>
      <w:r w:rsidRPr="004D724D">
        <w:rPr>
          <w:rFonts w:ascii="Perpetua" w:hAnsi="Perpetua" w:cs="Times New Roman"/>
        </w:rPr>
        <w:t>tenti del PEF e stabilisce che, nel caso essa perduri, “</w:t>
      </w:r>
      <w:r w:rsidRPr="004D724D">
        <w:rPr>
          <w:rFonts w:ascii="Perpetua" w:hAnsi="Perpetua" w:cs="Times New Roman"/>
          <w:i/>
          <w:iCs/>
        </w:rPr>
        <w:t>sono esclusi incrementi dei corrispettivi finale e adegu</w:t>
      </w:r>
      <w:r w:rsidRPr="004D724D">
        <w:rPr>
          <w:rFonts w:ascii="Perpetua" w:hAnsi="Perpetua" w:cs="Times New Roman"/>
          <w:i/>
          <w:iCs/>
        </w:rPr>
        <w:t>a</w:t>
      </w:r>
      <w:r w:rsidRPr="004D724D">
        <w:rPr>
          <w:rFonts w:ascii="Perpetua" w:hAnsi="Perpetua" w:cs="Times New Roman"/>
          <w:i/>
          <w:iCs/>
        </w:rPr>
        <w:t>menti degli stessi all’inflazione, nonché eventuali incrementi delle tariffe di accesso agli impianti di trattamento. Gli organismi competenti possono comunque provvedere alla del piano economico finanziario sulla base degli el</w:t>
      </w:r>
      <w:r w:rsidRPr="004D724D">
        <w:rPr>
          <w:rFonts w:ascii="Perpetua" w:hAnsi="Perpetua" w:cs="Times New Roman"/>
          <w:i/>
          <w:iCs/>
        </w:rPr>
        <w:t>e</w:t>
      </w:r>
      <w:r w:rsidRPr="004D724D">
        <w:rPr>
          <w:rFonts w:ascii="Perpetua" w:hAnsi="Perpetua" w:cs="Times New Roman"/>
          <w:i/>
          <w:iCs/>
        </w:rPr>
        <w:t>menti conoscitivi a disposizione, in un’ottica di tutela degli utenti</w:t>
      </w:r>
      <w:r w:rsidRPr="004D724D">
        <w:rPr>
          <w:rFonts w:ascii="Perpetua" w:hAnsi="Perpetua" w:cs="Times New Roman"/>
        </w:rPr>
        <w:t>.”. Lo stesso art. 9 disciplina anche la pr</w:t>
      </w:r>
      <w:r w:rsidRPr="004D724D">
        <w:rPr>
          <w:rFonts w:ascii="Perpetua" w:hAnsi="Perpetua" w:cs="Times New Roman"/>
        </w:rPr>
        <w:t>o</w:t>
      </w:r>
      <w:r w:rsidRPr="004D724D">
        <w:rPr>
          <w:rFonts w:ascii="Perpetua" w:hAnsi="Perpetua" w:cs="Times New Roman"/>
        </w:rPr>
        <w:t xml:space="preserve">cedura che verrà seguita nel caso l’inerzia sia da parte dell’organismo competente. </w:t>
      </w:r>
    </w:p>
    <w:p w:rsidR="00224855" w:rsidRPr="004D724D" w:rsidRDefault="00224855" w:rsidP="004D724D">
      <w:pPr>
        <w:pStyle w:val="Default"/>
        <w:spacing w:line="360" w:lineRule="auto"/>
        <w:jc w:val="both"/>
        <w:rPr>
          <w:rFonts w:ascii="Perpetua" w:hAnsi="Perpetua" w:cs="Times New Roman"/>
        </w:rPr>
      </w:pPr>
      <w:r w:rsidRPr="004D724D">
        <w:rPr>
          <w:rFonts w:ascii="Perpetua" w:hAnsi="Perpetua" w:cs="Times New Roman"/>
          <w:b/>
          <w:bCs/>
        </w:rPr>
        <w:t>V</w:t>
      </w:r>
      <w:r w:rsidR="006B602D" w:rsidRPr="004D724D">
        <w:rPr>
          <w:rFonts w:ascii="Perpetua" w:hAnsi="Perpetua" w:cs="Times New Roman"/>
          <w:b/>
          <w:bCs/>
        </w:rPr>
        <w:t>isto</w:t>
      </w:r>
      <w:r w:rsidRPr="004D724D">
        <w:rPr>
          <w:rFonts w:ascii="Perpetua" w:hAnsi="Perpetua" w:cs="Times New Roman"/>
          <w:b/>
          <w:bCs/>
        </w:rPr>
        <w:t xml:space="preserve"> </w:t>
      </w:r>
      <w:r w:rsidR="006B602D" w:rsidRPr="004D724D">
        <w:rPr>
          <w:rFonts w:ascii="Perpetua" w:hAnsi="Perpetua" w:cs="Times New Roman"/>
        </w:rPr>
        <w:t>l’</w:t>
      </w:r>
      <w:r w:rsidRPr="004D724D">
        <w:rPr>
          <w:rFonts w:ascii="Perpetua" w:hAnsi="Perpetua" w:cs="Times New Roman"/>
        </w:rPr>
        <w:t xml:space="preserve">Allegato A – “Metodo tariffario rifiuti per il secondo periodo regolatorio 2022-2025 – MTR-2 della deliberazione ARERA n. 363/2021/R/RIF e preso atto che: </w:t>
      </w:r>
    </w:p>
    <w:p w:rsidR="00224855" w:rsidRPr="004D724D" w:rsidRDefault="00224855"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2 in base al quale In ciascun anno </w:t>
      </w:r>
      <w:r w:rsidRPr="004D724D">
        <w:rPr>
          <w:rFonts w:ascii="Cambria Math" w:hAnsi="Cambria Math" w:cs="Cambria Math"/>
        </w:rPr>
        <w:t>𝑎</w:t>
      </w:r>
      <w:r w:rsidRPr="004D724D">
        <w:rPr>
          <w:rFonts w:ascii="Perpetua" w:hAnsi="Perpetua" w:cs="Times New Roman"/>
        </w:rPr>
        <w:t xml:space="preserve"> = {2022, 2023, 2024, 2025} , il totale delle entrate tariff</w:t>
      </w:r>
      <w:r w:rsidRPr="004D724D">
        <w:rPr>
          <w:rFonts w:ascii="Perpetua" w:hAnsi="Perpetua" w:cs="Times New Roman"/>
        </w:rPr>
        <w:t>a</w:t>
      </w:r>
      <w:r w:rsidRPr="004D724D">
        <w:rPr>
          <w:rFonts w:ascii="Perpetua" w:hAnsi="Perpetua" w:cs="Times New Roman"/>
        </w:rPr>
        <w:t xml:space="preserve">rie di riferimento per il servizio integrato di gestione dei RU è pari a: </w:t>
      </w:r>
      <w:r w:rsidRPr="004D724D">
        <w:rPr>
          <w:rFonts w:ascii="Cambria" w:hAnsi="Cambria" w:cs="Cambria"/>
          <w:b/>
          <w:bCs/>
        </w:rPr>
        <w:t>Σ</w:t>
      </w:r>
      <w:r w:rsidRPr="004D724D">
        <w:rPr>
          <w:rFonts w:ascii="Perpetua" w:hAnsi="Perpetua" w:cs="Times New Roman"/>
          <w:b/>
          <w:bCs/>
        </w:rPr>
        <w:t xml:space="preserve"> </w:t>
      </w:r>
      <w:r w:rsidRPr="004D724D">
        <w:rPr>
          <w:rFonts w:ascii="Cambria Math" w:hAnsi="Cambria Math" w:cs="Cambria Math"/>
        </w:rPr>
        <w:t>𝑇𝑎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w:hAnsi="Cambria" w:cs="Cambria"/>
          <w:b/>
          <w:bCs/>
        </w:rPr>
        <w:t>Σ</w:t>
      </w:r>
      <w:r w:rsidRPr="004D724D">
        <w:rPr>
          <w:rFonts w:ascii="Perpetua" w:hAnsi="Perpetua" w:cs="Times New Roman"/>
          <w:b/>
          <w:bCs/>
        </w:rPr>
        <w:t xml:space="preserve"> </w:t>
      </w:r>
      <w:r w:rsidRPr="004D724D">
        <w:rPr>
          <w:rFonts w:ascii="Cambria Math" w:hAnsi="Cambria Math" w:cs="Cambria Math"/>
        </w:rPr>
        <w:t>𝑇𝑉𝑎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w:hAnsi="Cambria" w:cs="Cambria"/>
          <w:b/>
          <w:bCs/>
        </w:rPr>
        <w:t>Σ</w:t>
      </w:r>
      <w:r w:rsidRPr="004D724D">
        <w:rPr>
          <w:rFonts w:ascii="Perpetua" w:hAnsi="Perpetua" w:cs="Times New Roman"/>
          <w:b/>
          <w:bCs/>
        </w:rPr>
        <w:t xml:space="preserve"> </w:t>
      </w:r>
      <w:r w:rsidRPr="004D724D">
        <w:rPr>
          <w:rFonts w:ascii="Cambria Math" w:hAnsi="Cambria Math" w:cs="Cambria Math"/>
        </w:rPr>
        <w:t>𝑇𝐹𝑎</w:t>
      </w:r>
      <w:r w:rsidRPr="004D724D">
        <w:rPr>
          <w:rFonts w:ascii="Perpetua" w:hAnsi="Perpetua" w:cs="Times New Roman"/>
        </w:rPr>
        <w:t xml:space="preserve">, dove: </w:t>
      </w:r>
      <w:r w:rsidRPr="004D724D">
        <w:rPr>
          <w:rFonts w:ascii="Cambria" w:hAnsi="Cambria" w:cs="Cambria"/>
        </w:rPr>
        <w:t>Σ</w:t>
      </w:r>
      <w:r w:rsidRPr="004D724D">
        <w:rPr>
          <w:rFonts w:ascii="Perpetua" w:hAnsi="Perpetua" w:cs="Times New Roman"/>
        </w:rPr>
        <w:t xml:space="preserve"> </w:t>
      </w:r>
      <w:r w:rsidRPr="004D724D">
        <w:rPr>
          <w:rFonts w:ascii="Cambria Math" w:hAnsi="Cambria Math" w:cs="Cambria Math"/>
        </w:rPr>
        <w:t>𝑇𝑉𝑎</w:t>
      </w:r>
      <w:r w:rsidRPr="004D724D">
        <w:rPr>
          <w:rFonts w:ascii="Perpetua" w:hAnsi="Perpetua" w:cs="Times New Roman"/>
        </w:rPr>
        <w:t xml:space="preserve"> è la somma delle seguenti entrate tariffarie relative alle componenti di costo variabile </w:t>
      </w:r>
      <w:r w:rsidRPr="004D724D">
        <w:rPr>
          <w:rFonts w:ascii="Cambria" w:hAnsi="Cambria" w:cs="Cambria"/>
        </w:rPr>
        <w:t>Σ</w:t>
      </w:r>
      <w:r w:rsidRPr="004D724D">
        <w:rPr>
          <w:rFonts w:ascii="Perpetua" w:hAnsi="Perpetua" w:cs="Times New Roman"/>
        </w:rPr>
        <w:t xml:space="preserve"> </w:t>
      </w:r>
      <w:r w:rsidRPr="004D724D">
        <w:rPr>
          <w:rFonts w:ascii="Cambria Math" w:hAnsi="Cambria Math" w:cs="Cambria Math"/>
        </w:rPr>
        <w:t>𝑇𝑉𝑎</w:t>
      </w:r>
      <w:r w:rsidRPr="004D724D">
        <w:rPr>
          <w:rFonts w:ascii="Perpetua" w:hAnsi="Perpetua" w:cs="Times New Roman"/>
        </w:rPr>
        <w:t xml:space="preserve"> = </w:t>
      </w:r>
      <w:r w:rsidRPr="004D724D">
        <w:rPr>
          <w:rFonts w:ascii="Cambria Math" w:hAnsi="Cambria Math" w:cs="Cambria Math"/>
        </w:rPr>
        <w:t>𝐶𝑅𝑇𝑎</w:t>
      </w:r>
      <w:r w:rsidRPr="004D724D">
        <w:rPr>
          <w:rFonts w:ascii="Perpetua" w:hAnsi="Perpetua" w:cs="Times New Roman"/>
        </w:rPr>
        <w:t xml:space="preserve"> + </w:t>
      </w:r>
      <w:r w:rsidRPr="004D724D">
        <w:rPr>
          <w:rFonts w:ascii="Cambria Math" w:hAnsi="Cambria Math" w:cs="Cambria Math"/>
        </w:rPr>
        <w:t>𝐶𝑇𝑆𝑎</w:t>
      </w:r>
      <w:r w:rsidRPr="004D724D">
        <w:rPr>
          <w:rFonts w:ascii="Perpetua" w:hAnsi="Perpetua" w:cs="Times New Roman"/>
        </w:rPr>
        <w:t xml:space="preserve"> + </w:t>
      </w:r>
      <w:r w:rsidRPr="004D724D">
        <w:rPr>
          <w:rFonts w:ascii="Cambria Math" w:hAnsi="Cambria Math" w:cs="Cambria Math"/>
        </w:rPr>
        <w:t>𝐶𝑇𝑅𝑎</w:t>
      </w:r>
      <w:r w:rsidRPr="004D724D">
        <w:rPr>
          <w:rFonts w:ascii="Perpetua" w:hAnsi="Perpetua" w:cs="Times New Roman"/>
        </w:rPr>
        <w:t xml:space="preserve"> + </w:t>
      </w:r>
      <w:r w:rsidRPr="004D724D">
        <w:rPr>
          <w:rFonts w:ascii="Cambria Math" w:hAnsi="Cambria Math" w:cs="Cambria Math"/>
        </w:rPr>
        <w:t>𝐶𝑅𝐷𝑎</w:t>
      </w:r>
      <w:r w:rsidRPr="004D724D">
        <w:rPr>
          <w:rFonts w:ascii="Perpetua" w:hAnsi="Perpetua" w:cs="Times New Roman"/>
        </w:rPr>
        <w:t xml:space="preserve"> + </w:t>
      </w:r>
      <w:r w:rsidRPr="004D724D">
        <w:rPr>
          <w:rFonts w:ascii="Cambria Math" w:hAnsi="Cambria Math" w:cs="Cambria Math"/>
        </w:rPr>
        <w:t>𝐶𝑂</w:t>
      </w:r>
      <w:r w:rsidRPr="004D724D">
        <w:rPr>
          <w:rFonts w:ascii="Perpetua" w:hAnsi="Perpetua" w:cs="Times New Roman"/>
        </w:rPr>
        <w:t>116</w:t>
      </w:r>
      <w:r w:rsidRPr="004D724D">
        <w:rPr>
          <w:rFonts w:ascii="Cambria Math" w:hAnsi="Cambria Math" w:cs="Cambria Math"/>
        </w:rPr>
        <w:t>𝑒𝑥𝑝</w:t>
      </w:r>
      <w:r w:rsidRPr="004D724D">
        <w:rPr>
          <w:rFonts w:ascii="Perpetua" w:hAnsi="Perpetua" w:cs="Times New Roman"/>
        </w:rPr>
        <w:t xml:space="preserve"> ,</w:t>
      </w:r>
      <w:r w:rsidRPr="004D724D">
        <w:rPr>
          <w:rFonts w:ascii="Cambria Math" w:hAnsi="Cambria Math" w:cs="Cambria Math"/>
        </w:rPr>
        <w:t>𝑇𝑉</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𝐶𝑄𝑇𝑉𝑒𝑥𝑝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𝐶𝑂𝐼𝑇𝑉</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w:t>
      </w:r>
      <w:r w:rsidRPr="004D724D">
        <w:rPr>
          <w:rFonts w:ascii="Cambria Math" w:hAnsi="Cambria Math" w:cs="Cambria Math"/>
        </w:rPr>
        <w:t>𝑏𝑎</w:t>
      </w:r>
      <w:r w:rsidRPr="004D724D">
        <w:rPr>
          <w:rFonts w:ascii="Perpetua" w:hAnsi="Perpetua" w:cs="Times New Roman"/>
        </w:rPr>
        <w:t>(</w:t>
      </w:r>
      <w:r w:rsidRPr="004D724D">
        <w:rPr>
          <w:rFonts w:ascii="Cambria Math" w:hAnsi="Cambria Math" w:cs="Cambria Math"/>
        </w:rPr>
        <w:t>𝐴𝑅𝑎</w:t>
      </w:r>
      <w:r w:rsidRPr="004D724D">
        <w:rPr>
          <w:rFonts w:ascii="Perpetua" w:hAnsi="Perpetua" w:cs="Times New Roman"/>
        </w:rPr>
        <w:t xml:space="preserve">) − </w:t>
      </w:r>
      <w:r w:rsidRPr="004D724D">
        <w:rPr>
          <w:rFonts w:ascii="Cambria Math" w:hAnsi="Cambria Math" w:cs="Cambria Math"/>
        </w:rPr>
        <w:t>𝑏𝑎</w:t>
      </w:r>
      <w:r w:rsidRPr="004D724D">
        <w:rPr>
          <w:rFonts w:ascii="Perpetua" w:hAnsi="Perpetua" w:cs="Times New Roman"/>
        </w:rPr>
        <w:t xml:space="preserve">(1 + </w:t>
      </w:r>
      <w:r w:rsidRPr="004D724D">
        <w:rPr>
          <w:rFonts w:ascii="Cambria" w:hAnsi="Cambria" w:cs="Cambria"/>
        </w:rPr>
        <w:t>ω</w:t>
      </w:r>
      <w:r w:rsidRPr="004D724D">
        <w:rPr>
          <w:rFonts w:ascii="Cambria Math" w:hAnsi="Cambria Math" w:cs="Cambria Math"/>
        </w:rPr>
        <w:t>𝑎</w:t>
      </w:r>
      <w:r w:rsidRPr="004D724D">
        <w:rPr>
          <w:rFonts w:ascii="Perpetua" w:hAnsi="Perpetua" w:cs="Times New Roman"/>
        </w:rPr>
        <w:t>)</w:t>
      </w:r>
      <w:r w:rsidRPr="004D724D">
        <w:rPr>
          <w:rFonts w:ascii="Cambria Math" w:hAnsi="Cambria Math" w:cs="Cambria Math"/>
        </w:rPr>
        <w:t>𝐴𝑅𝑆𝐶</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𝑅𝐶𝑡𝑜𝑡</w:t>
      </w:r>
      <w:r w:rsidRPr="004D724D">
        <w:rPr>
          <w:rFonts w:ascii="Perpetua" w:hAnsi="Perpetua" w:cs="Times New Roman"/>
        </w:rPr>
        <w:t xml:space="preserve"> </w:t>
      </w:r>
      <w:r w:rsidRPr="004D724D">
        <w:rPr>
          <w:rFonts w:ascii="Cambria Math" w:hAnsi="Cambria Math" w:cs="Cambria Math"/>
        </w:rPr>
        <w:t>𝑇𝑉</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w:t>
      </w:r>
      <w:r w:rsidRPr="004D724D">
        <w:rPr>
          <w:rFonts w:ascii="Cambria" w:hAnsi="Cambria" w:cs="Cambria"/>
        </w:rPr>
        <w:t>Σ</w:t>
      </w:r>
      <w:r w:rsidRPr="004D724D">
        <w:rPr>
          <w:rFonts w:ascii="Perpetua" w:hAnsi="Perpetua" w:cs="Times New Roman"/>
        </w:rPr>
        <w:t xml:space="preserve"> </w:t>
      </w:r>
      <w:r w:rsidRPr="004D724D">
        <w:rPr>
          <w:rFonts w:ascii="Cambria Math" w:hAnsi="Cambria Math" w:cs="Cambria Math"/>
        </w:rPr>
        <w:t>𝑇𝐹𝑎</w:t>
      </w:r>
      <w:r w:rsidRPr="004D724D">
        <w:rPr>
          <w:rFonts w:ascii="Perpetua" w:hAnsi="Perpetua" w:cs="Times New Roman"/>
        </w:rPr>
        <w:t xml:space="preserve"> è la somma delle seguenti entrate tariffarie relative alle componenti di costo fisso </w:t>
      </w:r>
      <w:r w:rsidRPr="004D724D">
        <w:rPr>
          <w:rFonts w:ascii="Cambria" w:hAnsi="Cambria" w:cs="Cambria"/>
        </w:rPr>
        <w:t>Σ</w:t>
      </w:r>
      <w:r w:rsidRPr="004D724D">
        <w:rPr>
          <w:rFonts w:ascii="Perpetua" w:hAnsi="Perpetua" w:cs="Times New Roman"/>
        </w:rPr>
        <w:t xml:space="preserve"> </w:t>
      </w:r>
      <w:r w:rsidRPr="004D724D">
        <w:rPr>
          <w:rFonts w:ascii="Cambria Math" w:hAnsi="Cambria Math" w:cs="Cambria Math"/>
        </w:rPr>
        <w:t>𝑇𝐹𝑎</w:t>
      </w:r>
      <w:r w:rsidRPr="004D724D">
        <w:rPr>
          <w:rFonts w:ascii="Perpetua" w:hAnsi="Perpetua" w:cs="Times New Roman"/>
        </w:rPr>
        <w:t xml:space="preserve"> = </w:t>
      </w:r>
      <w:r w:rsidRPr="004D724D">
        <w:rPr>
          <w:rFonts w:ascii="Cambria Math" w:hAnsi="Cambria Math" w:cs="Cambria Math"/>
        </w:rPr>
        <w:t>𝐶𝑆𝐿𝑎</w:t>
      </w:r>
      <w:r w:rsidRPr="004D724D">
        <w:rPr>
          <w:rFonts w:ascii="Perpetua" w:hAnsi="Perpetua" w:cs="Times New Roman"/>
        </w:rPr>
        <w:t xml:space="preserve"> + </w:t>
      </w:r>
      <w:r w:rsidRPr="004D724D">
        <w:rPr>
          <w:rFonts w:ascii="Cambria Math" w:hAnsi="Cambria Math" w:cs="Cambria Math"/>
        </w:rPr>
        <w:t>𝐶𝐶𝑎</w:t>
      </w:r>
      <w:r w:rsidRPr="004D724D">
        <w:rPr>
          <w:rFonts w:ascii="Perpetua" w:hAnsi="Perpetua" w:cs="Times New Roman"/>
        </w:rPr>
        <w:t xml:space="preserve"> + </w:t>
      </w:r>
      <w:r w:rsidRPr="004D724D">
        <w:rPr>
          <w:rFonts w:ascii="Cambria Math" w:hAnsi="Cambria Math" w:cs="Cambria Math"/>
        </w:rPr>
        <w:t>𝐶𝐾𝑎</w:t>
      </w:r>
      <w:r w:rsidRPr="004D724D">
        <w:rPr>
          <w:rFonts w:ascii="Perpetua" w:hAnsi="Perpetua" w:cs="Times New Roman"/>
        </w:rPr>
        <w:t xml:space="preserve"> + </w:t>
      </w:r>
      <w:r w:rsidRPr="004D724D">
        <w:rPr>
          <w:rFonts w:ascii="Cambria Math" w:hAnsi="Cambria Math" w:cs="Cambria Math"/>
        </w:rPr>
        <w:t>𝐶𝑂</w:t>
      </w:r>
      <w:r w:rsidRPr="004D724D">
        <w:rPr>
          <w:rFonts w:ascii="Perpetua" w:hAnsi="Perpetua" w:cs="Times New Roman"/>
        </w:rPr>
        <w:t xml:space="preserve">116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𝑇𝐹</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𝐶𝑄𝑇𝐹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𝐶𝑂𝐼𝑇𝐹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𝑅𝐶𝑡𝑜𝑡𝑇𝐹</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w:t>
      </w:r>
    </w:p>
    <w:p w:rsidR="00224855" w:rsidRPr="004D724D" w:rsidRDefault="00224855"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3 definisce le modalità di determinazione del parametro </w:t>
      </w:r>
      <w:r w:rsidRPr="004D724D">
        <w:rPr>
          <w:rFonts w:ascii="Cambria" w:hAnsi="Cambria" w:cs="Cambria"/>
          <w:b/>
          <w:bCs/>
        </w:rPr>
        <w:t>ω</w:t>
      </w:r>
      <w:r w:rsidRPr="004D724D">
        <w:rPr>
          <w:rFonts w:ascii="Cambria Math" w:hAnsi="Cambria Math" w:cs="Cambria Math"/>
        </w:rPr>
        <w:t>𝑎</w:t>
      </w:r>
      <w:r w:rsidRPr="004D724D">
        <w:rPr>
          <w:rFonts w:ascii="Perpetua" w:hAnsi="Perpetua" w:cs="Times New Roman"/>
        </w:rPr>
        <w:t xml:space="preserve"> che fornisce la misura del fattore di sharing </w:t>
      </w:r>
      <w:r w:rsidRPr="004D724D">
        <w:rPr>
          <w:rFonts w:ascii="Cambria Math" w:hAnsi="Cambria Math" w:cs="Cambria Math"/>
        </w:rPr>
        <w:t>𝑏𝑎</w:t>
      </w:r>
      <w:r w:rsidRPr="004D724D">
        <w:rPr>
          <w:rFonts w:ascii="Perpetua" w:hAnsi="Perpetua" w:cs="Times New Roman"/>
          <w:b/>
          <w:bCs/>
        </w:rPr>
        <w:t xml:space="preserve">(1 + </w:t>
      </w:r>
      <w:r w:rsidRPr="004D724D">
        <w:rPr>
          <w:rFonts w:ascii="Cambria" w:hAnsi="Cambria" w:cs="Cambria"/>
          <w:b/>
          <w:bCs/>
        </w:rPr>
        <w:t>ω</w:t>
      </w:r>
      <w:r w:rsidRPr="004D724D">
        <w:rPr>
          <w:rFonts w:ascii="Cambria Math" w:hAnsi="Cambria Math" w:cs="Cambria Math"/>
        </w:rPr>
        <w:t>𝑎</w:t>
      </w:r>
      <w:r w:rsidRPr="004D724D">
        <w:rPr>
          <w:rFonts w:ascii="Perpetua" w:hAnsi="Perpetua" w:cs="Times New Roman"/>
          <w:b/>
          <w:bCs/>
        </w:rPr>
        <w:t xml:space="preserve">) </w:t>
      </w:r>
      <w:r w:rsidRPr="004D724D">
        <w:rPr>
          <w:rFonts w:ascii="Perpetua" w:hAnsi="Perpetua" w:cs="Times New Roman"/>
        </w:rPr>
        <w:t>dei ricavi derivanti dai corrispettivi riconosciuti dai sistemi collettivi di complia</w:t>
      </w:r>
      <w:r w:rsidRPr="004D724D">
        <w:rPr>
          <w:rFonts w:ascii="Perpetua" w:hAnsi="Perpetua" w:cs="Times New Roman"/>
        </w:rPr>
        <w:t>n</w:t>
      </w:r>
      <w:r w:rsidRPr="004D724D">
        <w:rPr>
          <w:rFonts w:ascii="Perpetua" w:hAnsi="Perpetua" w:cs="Times New Roman"/>
        </w:rPr>
        <w:lastRenderedPageBreak/>
        <w:t>ce agli obblighi di responsabilità estesa del produttore a copertura degli oneri per la raccolta differe</w:t>
      </w:r>
      <w:r w:rsidRPr="004D724D">
        <w:rPr>
          <w:rFonts w:ascii="Perpetua" w:hAnsi="Perpetua" w:cs="Times New Roman"/>
        </w:rPr>
        <w:t>n</w:t>
      </w:r>
      <w:r w:rsidRPr="004D724D">
        <w:rPr>
          <w:rFonts w:ascii="Perpetua" w:hAnsi="Perpetua" w:cs="Times New Roman"/>
        </w:rPr>
        <w:t xml:space="preserve">ziata dei rifiuti di pertinenza </w:t>
      </w:r>
      <w:r w:rsidRPr="004D724D">
        <w:rPr>
          <w:rFonts w:ascii="Cambria Math" w:hAnsi="Cambria Math" w:cs="Cambria Math"/>
        </w:rPr>
        <w:t>𝐴𝑅𝑆𝐶</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dove il parametro </w:t>
      </w:r>
      <w:r w:rsidRPr="004D724D">
        <w:rPr>
          <w:rFonts w:ascii="Cambria Math" w:hAnsi="Cambria Math" w:cs="Cambria Math"/>
        </w:rPr>
        <w:t>𝑏𝑎</w:t>
      </w:r>
      <w:r w:rsidRPr="004D724D">
        <w:rPr>
          <w:rFonts w:ascii="Perpetua" w:hAnsi="Perpetua" w:cs="Times New Roman"/>
        </w:rPr>
        <w:t xml:space="preserve"> è invece la misura dello sharing dei pr</w:t>
      </w:r>
      <w:r w:rsidRPr="004D724D">
        <w:rPr>
          <w:rFonts w:ascii="Perpetua" w:hAnsi="Perpetua" w:cs="Times New Roman"/>
        </w:rPr>
        <w:t>o</w:t>
      </w:r>
      <w:r w:rsidRPr="004D724D">
        <w:rPr>
          <w:rFonts w:ascii="Perpetua" w:hAnsi="Perpetua" w:cs="Times New Roman"/>
        </w:rPr>
        <w:t xml:space="preserve">venti, </w:t>
      </w:r>
      <w:r w:rsidRPr="004D724D">
        <w:rPr>
          <w:rFonts w:ascii="Cambria Math" w:hAnsi="Cambria Math" w:cs="Cambria Math"/>
        </w:rPr>
        <w:t>𝐴𝑅𝑎</w:t>
      </w:r>
      <w:r w:rsidRPr="004D724D">
        <w:rPr>
          <w:rFonts w:ascii="Perpetua" w:hAnsi="Perpetua" w:cs="Times New Roman"/>
        </w:rPr>
        <w:t xml:space="preserve"> è la somma dei proventi della vendita di materiale ed energia derivante da rifiuti </w:t>
      </w:r>
      <w:r w:rsidRPr="004D724D">
        <w:rPr>
          <w:rFonts w:ascii="Cambria Math" w:hAnsi="Cambria Math" w:cs="Cambria Math"/>
        </w:rPr>
        <w:t>𝐴𝑅𝑎</w:t>
      </w:r>
      <w:r w:rsidRPr="004D724D">
        <w:rPr>
          <w:rFonts w:ascii="Perpetua" w:hAnsi="Perpetua" w:cs="Times New Roman"/>
          <w:b/>
          <w:bCs/>
        </w:rPr>
        <w:t xml:space="preserve">. </w:t>
      </w:r>
      <w:r w:rsidRPr="004D724D">
        <w:rPr>
          <w:rFonts w:ascii="Perpetua" w:hAnsi="Perpetua" w:cs="Times New Roman"/>
        </w:rPr>
        <w:t xml:space="preserve">La quantificazione di entrambi i suddetti parametri è di competenza dell’ETC; </w:t>
      </w:r>
    </w:p>
    <w:p w:rsidR="00224855" w:rsidRPr="004D724D" w:rsidRDefault="00224855"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4 stabilisce per ciascuna anno a del quadriennio (2022-2025) un limite alla crescita annuale delle entrate tariffarie di riferimento rispetto all’anno precedente ed alla quantificazione di tale limite, oltre al </w:t>
      </w:r>
      <w:r w:rsidRPr="004D724D">
        <w:rPr>
          <w:rFonts w:ascii="Perpetua" w:hAnsi="Perpetua" w:cs="Times New Roman"/>
          <w:b/>
          <w:bCs/>
        </w:rPr>
        <w:t>tasso di inflazione programmata (</w:t>
      </w:r>
      <w:proofErr w:type="spellStart"/>
      <w:r w:rsidRPr="004D724D">
        <w:rPr>
          <w:rFonts w:ascii="Perpetua" w:hAnsi="Perpetua" w:cs="Times New Roman"/>
          <w:b/>
          <w:bCs/>
        </w:rPr>
        <w:t>rpia</w:t>
      </w:r>
      <w:proofErr w:type="spellEnd"/>
      <w:r w:rsidRPr="004D724D">
        <w:rPr>
          <w:rFonts w:ascii="Perpetua" w:hAnsi="Perpetua" w:cs="Times New Roman"/>
          <w:b/>
          <w:bCs/>
        </w:rPr>
        <w:t xml:space="preserve">) </w:t>
      </w:r>
      <w:r w:rsidRPr="004D724D">
        <w:rPr>
          <w:rFonts w:ascii="Perpetua" w:hAnsi="Perpetua" w:cs="Times New Roman"/>
        </w:rPr>
        <w:t>fissato al 1,7% dalla del. 459/2021/R/RIF, contribu</w:t>
      </w:r>
      <w:r w:rsidRPr="004D724D">
        <w:rPr>
          <w:rFonts w:ascii="Perpetua" w:hAnsi="Perpetua" w:cs="Times New Roman"/>
        </w:rPr>
        <w:t>i</w:t>
      </w:r>
      <w:r w:rsidRPr="004D724D">
        <w:rPr>
          <w:rFonts w:ascii="Perpetua" w:hAnsi="Perpetua" w:cs="Times New Roman"/>
        </w:rPr>
        <w:t xml:space="preserve">scono le seguenti grandezze determinate dall’Ente territorialmente competente entro i limiti come di seguito specificati: </w:t>
      </w:r>
    </w:p>
    <w:p w:rsidR="00224855" w:rsidRPr="004D724D" w:rsidRDefault="00224855" w:rsidP="004D724D">
      <w:pPr>
        <w:pStyle w:val="Default"/>
        <w:numPr>
          <w:ilvl w:val="1"/>
          <w:numId w:val="14"/>
        </w:numPr>
        <w:spacing w:line="360" w:lineRule="auto"/>
        <w:jc w:val="both"/>
        <w:rPr>
          <w:rFonts w:ascii="Perpetua" w:hAnsi="Perpetua" w:cs="Times New Roman"/>
        </w:rPr>
      </w:pPr>
      <w:r w:rsidRPr="004D724D">
        <w:rPr>
          <w:rFonts w:ascii="Perpetua" w:hAnsi="Perpetua" w:cs="Times New Roman"/>
        </w:rPr>
        <w:t xml:space="preserve">il </w:t>
      </w:r>
      <w:r w:rsidRPr="004D724D">
        <w:rPr>
          <w:rFonts w:ascii="Perpetua" w:hAnsi="Perpetua" w:cs="Times New Roman"/>
          <w:b/>
          <w:bCs/>
        </w:rPr>
        <w:t>coefficiente di recupero di produttività [</w:t>
      </w:r>
      <w:r w:rsidRPr="004D724D">
        <w:rPr>
          <w:rFonts w:ascii="Cambria Math" w:hAnsi="Cambria Math" w:cs="Cambria Math"/>
        </w:rPr>
        <w:t>𝑋𝑎</w:t>
      </w:r>
      <w:r w:rsidRPr="004D724D">
        <w:rPr>
          <w:rFonts w:ascii="Perpetua" w:hAnsi="Perpetua" w:cs="Times New Roman"/>
          <w:b/>
          <w:bCs/>
        </w:rPr>
        <w:t xml:space="preserve">], che l’ETC, </w:t>
      </w:r>
      <w:r w:rsidRPr="004D724D">
        <w:rPr>
          <w:rFonts w:ascii="Perpetua" w:hAnsi="Perpetua" w:cs="Times New Roman"/>
        </w:rPr>
        <w:t xml:space="preserve">nell’ambito dell’intervallo di valori compreso fra 0,1% e 0,5%, fissa tenendo conto, ai sensi dell’art. 5 dell’MTR-2, di quanto segue: </w:t>
      </w:r>
    </w:p>
    <w:p w:rsidR="00224855" w:rsidRPr="004D724D" w:rsidRDefault="00224855" w:rsidP="004D724D">
      <w:pPr>
        <w:pStyle w:val="Default"/>
        <w:spacing w:line="360" w:lineRule="auto"/>
        <w:ind w:left="709" w:firstLine="709"/>
        <w:jc w:val="both"/>
        <w:rPr>
          <w:rFonts w:ascii="Perpetua" w:hAnsi="Perpetua" w:cs="Times New Roman"/>
        </w:rPr>
      </w:pPr>
      <w:r w:rsidRPr="004D724D">
        <w:rPr>
          <w:rFonts w:ascii="Perpetua" w:hAnsi="Perpetua" w:cs="Times New Roman"/>
        </w:rPr>
        <w:t xml:space="preserve">a) del confronto tra il costo unitario effettivo della gestione interessata e il </w:t>
      </w:r>
      <w:r w:rsidRPr="004D724D">
        <w:rPr>
          <w:rFonts w:ascii="Perpetua" w:hAnsi="Perpetua" w:cs="Times New Roman"/>
          <w:i/>
          <w:iCs/>
        </w:rPr>
        <w:t xml:space="preserve">Benchmark </w:t>
      </w:r>
      <w:r w:rsidRPr="004D724D">
        <w:rPr>
          <w:rFonts w:ascii="Perpetua" w:hAnsi="Perpetua" w:cs="Times New Roman"/>
        </w:rPr>
        <w:t>di rifer</w:t>
      </w:r>
      <w:r w:rsidRPr="004D724D">
        <w:rPr>
          <w:rFonts w:ascii="Perpetua" w:hAnsi="Perpetua" w:cs="Times New Roman"/>
        </w:rPr>
        <w:t>i</w:t>
      </w:r>
      <w:r w:rsidRPr="004D724D">
        <w:rPr>
          <w:rFonts w:ascii="Perpetua" w:hAnsi="Perpetua" w:cs="Times New Roman"/>
        </w:rPr>
        <w:t xml:space="preserve">mento, dove: </w:t>
      </w:r>
    </w:p>
    <w:p w:rsidR="00A348EE" w:rsidRPr="004D724D" w:rsidRDefault="00224855" w:rsidP="00CF2A9E">
      <w:pPr>
        <w:pStyle w:val="Default"/>
        <w:numPr>
          <w:ilvl w:val="2"/>
          <w:numId w:val="14"/>
        </w:numPr>
        <w:spacing w:line="360" w:lineRule="auto"/>
        <w:ind w:left="1701"/>
        <w:jc w:val="both"/>
        <w:rPr>
          <w:rFonts w:ascii="Perpetua" w:hAnsi="Perpetua" w:cs="Times New Roman"/>
        </w:rPr>
      </w:pPr>
      <w:r w:rsidRPr="004D724D">
        <w:rPr>
          <w:rFonts w:ascii="Perpetua" w:hAnsi="Perpetua" w:cs="Times New Roman"/>
        </w:rPr>
        <w:t>in sede di prima determinazione tariffaria, il costo unitario effettivo (</w:t>
      </w:r>
      <w:r w:rsidRPr="004D724D">
        <w:rPr>
          <w:rFonts w:ascii="Cambria Math" w:hAnsi="Cambria Math" w:cs="Cambria Math"/>
        </w:rPr>
        <w:t>𝐶𝑈𝑒𝑓𝑓</w:t>
      </w:r>
      <w:r w:rsidRPr="004D724D">
        <w:rPr>
          <w:rFonts w:ascii="Perpetua" w:hAnsi="Perpetua" w:cs="Times New Roman"/>
        </w:rPr>
        <w:t>2020) da co</w:t>
      </w:r>
      <w:r w:rsidRPr="004D724D">
        <w:rPr>
          <w:rFonts w:ascii="Perpetua" w:hAnsi="Perpetua" w:cs="Times New Roman"/>
        </w:rPr>
        <w:t>n</w:t>
      </w:r>
      <w:r w:rsidRPr="004D724D">
        <w:rPr>
          <w:rFonts w:ascii="Perpetua" w:hAnsi="Perpetua" w:cs="Times New Roman"/>
        </w:rPr>
        <w:t xml:space="preserve">siderare è il seguente: </w:t>
      </w:r>
      <w:r w:rsidRPr="004D724D">
        <w:rPr>
          <w:rFonts w:ascii="Cambria Math" w:hAnsi="Cambria Math" w:cs="Cambria Math"/>
        </w:rPr>
        <w:t>𝐶𝑈𝑒𝑓𝑓</w:t>
      </w:r>
      <w:r w:rsidRPr="004D724D">
        <w:rPr>
          <w:rFonts w:ascii="Perpetua" w:hAnsi="Perpetua" w:cs="Times New Roman"/>
        </w:rPr>
        <w:t>2020 = (</w:t>
      </w:r>
      <w:r w:rsidRPr="004D724D">
        <w:rPr>
          <w:rFonts w:ascii="Cambria" w:hAnsi="Cambria" w:cs="Cambria"/>
        </w:rPr>
        <w:t>Σ</w:t>
      </w:r>
      <w:r w:rsidRPr="004D724D">
        <w:rPr>
          <w:rFonts w:ascii="Cambria Math" w:hAnsi="Cambria Math" w:cs="Cambria Math"/>
        </w:rPr>
        <w:t>𝑇𝑉</w:t>
      </w:r>
      <w:r w:rsidRPr="004D724D">
        <w:rPr>
          <w:rFonts w:ascii="Perpetua" w:hAnsi="Perpetua" w:cs="Times New Roman"/>
        </w:rPr>
        <w:t>2020 +</w:t>
      </w:r>
      <w:r w:rsidRPr="004D724D">
        <w:rPr>
          <w:rFonts w:ascii="Cambria" w:hAnsi="Cambria" w:cs="Cambria"/>
        </w:rPr>
        <w:t>Σ</w:t>
      </w:r>
      <w:r w:rsidRPr="004D724D">
        <w:rPr>
          <w:rFonts w:ascii="Cambria Math" w:hAnsi="Cambria Math" w:cs="Cambria Math"/>
        </w:rPr>
        <w:t>𝑇𝐹</w:t>
      </w:r>
      <w:r w:rsidRPr="004D724D">
        <w:rPr>
          <w:rFonts w:ascii="Perpetua" w:hAnsi="Perpetua" w:cs="Times New Roman"/>
        </w:rPr>
        <w:t xml:space="preserve">2020) / </w:t>
      </w:r>
      <w:r w:rsidRPr="004D724D">
        <w:rPr>
          <w:rFonts w:ascii="Cambria Math" w:hAnsi="Cambria Math" w:cs="Cambria Math"/>
        </w:rPr>
        <w:t>𝑞</w:t>
      </w:r>
      <w:r w:rsidRPr="004D724D">
        <w:rPr>
          <w:rFonts w:ascii="Perpetua" w:hAnsi="Perpetua" w:cs="Times New Roman"/>
        </w:rPr>
        <w:t xml:space="preserve">2020 con </w:t>
      </w:r>
      <w:r w:rsidRPr="004D724D">
        <w:rPr>
          <w:rFonts w:ascii="Cambria Math" w:hAnsi="Cambria Math" w:cs="Cambria Math"/>
        </w:rPr>
        <w:t>𝑞</w:t>
      </w:r>
      <w:r w:rsidRPr="004D724D">
        <w:rPr>
          <w:rFonts w:ascii="Perpetua" w:hAnsi="Perpetua" w:cs="Times New Roman"/>
        </w:rPr>
        <w:t>2020 che i</w:t>
      </w:r>
      <w:r w:rsidRPr="004D724D">
        <w:rPr>
          <w:rFonts w:ascii="Perpetua" w:hAnsi="Perpetua" w:cs="Times New Roman"/>
        </w:rPr>
        <w:t>n</w:t>
      </w:r>
      <w:r w:rsidRPr="004D724D">
        <w:rPr>
          <w:rFonts w:ascii="Perpetua" w:hAnsi="Perpetua" w:cs="Times New Roman"/>
        </w:rPr>
        <w:t xml:space="preserve">dica la quantità di RU complessivamente prodotti all’anno 2020; </w:t>
      </w:r>
    </w:p>
    <w:p w:rsidR="00A348EE" w:rsidRPr="004D724D" w:rsidRDefault="00224855" w:rsidP="00CF2A9E">
      <w:pPr>
        <w:pStyle w:val="Default"/>
        <w:numPr>
          <w:ilvl w:val="2"/>
          <w:numId w:val="14"/>
        </w:numPr>
        <w:spacing w:line="360" w:lineRule="auto"/>
        <w:ind w:left="1701"/>
        <w:jc w:val="both"/>
        <w:rPr>
          <w:rFonts w:ascii="Perpetua" w:hAnsi="Perpetua" w:cs="Times New Roman"/>
        </w:rPr>
      </w:pPr>
      <w:r w:rsidRPr="004D724D">
        <w:rPr>
          <w:rFonts w:ascii="Perpetua" w:hAnsi="Perpetua" w:cs="Times New Roman"/>
        </w:rPr>
        <w:t>il Benchmark di riferimento è pari: i) per le Regioni a Statuto ordinario, al fabbisogno sta</w:t>
      </w:r>
      <w:r w:rsidRPr="004D724D">
        <w:rPr>
          <w:rFonts w:ascii="Perpetua" w:hAnsi="Perpetua" w:cs="Times New Roman"/>
        </w:rPr>
        <w:t>n</w:t>
      </w:r>
      <w:r w:rsidRPr="004D724D">
        <w:rPr>
          <w:rFonts w:ascii="Perpetua" w:hAnsi="Perpetua" w:cs="Times New Roman"/>
        </w:rPr>
        <w:t xml:space="preserve">dard di cui all’articolo 1, comma 653, della legge n. 147/13 (nel caso di PEF per singolo comune), </w:t>
      </w:r>
      <w:r w:rsidR="00A348EE" w:rsidRPr="004D724D">
        <w:rPr>
          <w:rFonts w:ascii="Perpetua" w:hAnsi="Perpetua" w:cs="Times New Roman"/>
        </w:rPr>
        <w:t xml:space="preserve">ovvero all’adattamento del citato fabbisogno standard, qualora validato da un soggetto terzo (nel caso di PEF </w:t>
      </w:r>
      <w:proofErr w:type="spellStart"/>
      <w:r w:rsidR="00A348EE" w:rsidRPr="004D724D">
        <w:rPr>
          <w:rFonts w:ascii="Perpetua" w:hAnsi="Perpetua" w:cs="Times New Roman"/>
        </w:rPr>
        <w:t>pluri-comunale</w:t>
      </w:r>
      <w:proofErr w:type="spellEnd"/>
      <w:r w:rsidR="00A348EE" w:rsidRPr="004D724D">
        <w:rPr>
          <w:rFonts w:ascii="Perpetua" w:hAnsi="Perpetua" w:cs="Times New Roman"/>
        </w:rPr>
        <w:t xml:space="preserve"> o per ambito); </w:t>
      </w:r>
      <w:r w:rsidR="00A348EE" w:rsidRPr="004D724D">
        <w:rPr>
          <w:rFonts w:ascii="Perpetua" w:hAnsi="Perpetua" w:cs="Times New Roman"/>
          <w:i/>
          <w:iCs/>
        </w:rPr>
        <w:t xml:space="preserve">ii) </w:t>
      </w:r>
      <w:r w:rsidR="00A348EE" w:rsidRPr="004D724D">
        <w:rPr>
          <w:rFonts w:ascii="Perpetua" w:hAnsi="Perpetua" w:cs="Times New Roman"/>
        </w:rPr>
        <w:t>per le Regioni a Statuto speciale e le Province autonome di Trento e Bolzano, al costo medio di settore come risu</w:t>
      </w:r>
      <w:r w:rsidR="00A348EE" w:rsidRPr="004D724D">
        <w:rPr>
          <w:rFonts w:ascii="Perpetua" w:hAnsi="Perpetua" w:cs="Times New Roman"/>
        </w:rPr>
        <w:t>l</w:t>
      </w:r>
      <w:r w:rsidR="00A348EE" w:rsidRPr="004D724D">
        <w:rPr>
          <w:rFonts w:ascii="Perpetua" w:hAnsi="Perpetua" w:cs="Times New Roman"/>
        </w:rPr>
        <w:t xml:space="preserve">tante dall’ultimo Rapporto dell’ISPRA; </w:t>
      </w:r>
    </w:p>
    <w:p w:rsidR="00A348EE" w:rsidRPr="004D724D" w:rsidRDefault="00A348EE" w:rsidP="004D724D">
      <w:pPr>
        <w:pStyle w:val="Default"/>
        <w:spacing w:line="360" w:lineRule="auto"/>
        <w:ind w:left="709" w:firstLine="709"/>
        <w:jc w:val="both"/>
        <w:rPr>
          <w:rFonts w:ascii="Perpetua" w:hAnsi="Perpetua" w:cs="Times New Roman"/>
        </w:rPr>
      </w:pPr>
      <w:r w:rsidRPr="004D724D">
        <w:rPr>
          <w:rFonts w:ascii="Perpetua" w:hAnsi="Perpetua" w:cs="Times New Roman"/>
        </w:rPr>
        <w:t>b) dei risultati raggiunti dalla gestione in termini di raccolta differenziata (</w:t>
      </w:r>
      <w:r w:rsidRPr="004D724D">
        <w:rPr>
          <w:rFonts w:ascii="Cambria Math" w:hAnsi="Cambria Math" w:cs="Cambria Math"/>
        </w:rPr>
        <w:t>𝛾</w:t>
      </w:r>
      <w:r w:rsidRPr="004D724D">
        <w:rPr>
          <w:rFonts w:ascii="Perpetua" w:hAnsi="Perpetua" w:cs="Times New Roman"/>
        </w:rPr>
        <w:t>1,</w:t>
      </w:r>
      <w:r w:rsidRPr="004D724D">
        <w:rPr>
          <w:rFonts w:ascii="Cambria Math" w:hAnsi="Cambria Math" w:cs="Cambria Math"/>
        </w:rPr>
        <w:t>𝑎</w:t>
      </w:r>
      <w:r w:rsidRPr="004D724D">
        <w:rPr>
          <w:rFonts w:ascii="Perpetua" w:hAnsi="Perpetua" w:cs="Times New Roman"/>
        </w:rPr>
        <w:t>) e di efficacia delle attività di preparazione per il riutilizzo e il riciclo (</w:t>
      </w:r>
      <w:r w:rsidRPr="004D724D">
        <w:rPr>
          <w:rFonts w:ascii="Cambria Math" w:hAnsi="Cambria Math" w:cs="Cambria Math"/>
        </w:rPr>
        <w:t>𝛾</w:t>
      </w:r>
      <w:r w:rsidRPr="004D724D">
        <w:rPr>
          <w:rFonts w:ascii="Perpetua" w:hAnsi="Perpetua" w:cs="Times New Roman"/>
        </w:rPr>
        <w:t>2,</w:t>
      </w:r>
      <w:r w:rsidRPr="004D724D">
        <w:rPr>
          <w:rFonts w:ascii="Cambria Math" w:hAnsi="Cambria Math" w:cs="Cambria Math"/>
        </w:rPr>
        <w:t>𝑎</w:t>
      </w:r>
      <w:r w:rsidRPr="004D724D">
        <w:rPr>
          <w:rFonts w:ascii="Perpetua" w:hAnsi="Perpetua" w:cs="Times New Roman"/>
        </w:rPr>
        <w:t>) rispetto agli obiettivi comunitari, disti</w:t>
      </w:r>
      <w:r w:rsidRPr="004D724D">
        <w:rPr>
          <w:rFonts w:ascii="Perpetua" w:hAnsi="Perpetua" w:cs="Times New Roman"/>
        </w:rPr>
        <w:t>n</w:t>
      </w:r>
      <w:r w:rsidRPr="004D724D">
        <w:rPr>
          <w:rFonts w:ascii="Perpetua" w:hAnsi="Perpetua" w:cs="Times New Roman"/>
        </w:rPr>
        <w:t xml:space="preserve">guendo: </w:t>
      </w:r>
    </w:p>
    <w:p w:rsidR="00A348EE" w:rsidRPr="004D724D" w:rsidRDefault="00A348EE" w:rsidP="00CF2A9E">
      <w:pPr>
        <w:pStyle w:val="Default"/>
        <w:numPr>
          <w:ilvl w:val="2"/>
          <w:numId w:val="14"/>
        </w:numPr>
        <w:spacing w:line="360" w:lineRule="auto"/>
        <w:ind w:left="1701"/>
        <w:jc w:val="both"/>
        <w:rPr>
          <w:rFonts w:ascii="Perpetua" w:hAnsi="Perpetua" w:cs="Times New Roman"/>
        </w:rPr>
      </w:pPr>
      <w:r w:rsidRPr="004D724D">
        <w:rPr>
          <w:rFonts w:ascii="Perpetua" w:hAnsi="Perpetua" w:cs="Times New Roman"/>
        </w:rPr>
        <w:t xml:space="preserve">un livello di qualità ambientale delle prestazioni ritenuto “insoddisfacente o intermedio”, conseguente a una determinazione di </w:t>
      </w:r>
      <w:r w:rsidRPr="004D724D">
        <w:rPr>
          <w:rFonts w:ascii="Cambria Math" w:hAnsi="Cambria Math" w:cs="Cambria Math"/>
        </w:rPr>
        <w:t>𝛾</w:t>
      </w:r>
      <w:r w:rsidRPr="004D724D">
        <w:rPr>
          <w:rFonts w:ascii="Perpetua" w:hAnsi="Perpetua" w:cs="Times New Roman"/>
        </w:rPr>
        <w:t>1,</w:t>
      </w:r>
      <w:r w:rsidRPr="004D724D">
        <w:rPr>
          <w:rFonts w:ascii="Cambria Math" w:hAnsi="Cambria Math" w:cs="Cambria Math"/>
        </w:rPr>
        <w:t>𝑎</w:t>
      </w:r>
      <w:r w:rsidRPr="004D724D">
        <w:rPr>
          <w:rFonts w:ascii="Perpetua" w:hAnsi="Perpetua" w:cs="Times New Roman"/>
        </w:rPr>
        <w:t xml:space="preserve"> e </w:t>
      </w:r>
      <w:r w:rsidRPr="004D724D">
        <w:rPr>
          <w:rFonts w:ascii="Cambria Math" w:hAnsi="Cambria Math" w:cs="Cambria Math"/>
        </w:rPr>
        <w:t>𝛾</w:t>
      </w:r>
      <w:r w:rsidRPr="004D724D">
        <w:rPr>
          <w:rFonts w:ascii="Perpetua" w:hAnsi="Perpetua" w:cs="Times New Roman"/>
        </w:rPr>
        <w:t>2,</w:t>
      </w:r>
      <w:r w:rsidRPr="004D724D">
        <w:rPr>
          <w:rFonts w:ascii="Cambria Math" w:hAnsi="Cambria Math" w:cs="Cambria Math"/>
        </w:rPr>
        <w:t>𝑎</w:t>
      </w:r>
      <w:r w:rsidRPr="004D724D">
        <w:rPr>
          <w:rFonts w:ascii="Perpetua" w:hAnsi="Perpetua" w:cs="Times New Roman"/>
        </w:rPr>
        <w:t xml:space="preserve"> – nell'ambito degli intervalli di cui all’Articolo 3 della Deliberazione 3 agosto 2021 363/2021/R/RIF – da cui deriva che: (1+</w:t>
      </w:r>
      <w:r w:rsidRPr="004D724D">
        <w:rPr>
          <w:rFonts w:ascii="Cambria" w:hAnsi="Cambria" w:cs="Cambria"/>
        </w:rPr>
        <w:t>γ</w:t>
      </w:r>
      <w:r w:rsidRPr="004D724D">
        <w:rPr>
          <w:rFonts w:ascii="Cambria Math" w:hAnsi="Cambria Math" w:cs="Cambria Math"/>
        </w:rPr>
        <w:t>𝑎</w:t>
      </w:r>
      <w:r w:rsidRPr="004D724D">
        <w:rPr>
          <w:rFonts w:ascii="Perpetua" w:hAnsi="Perpetua" w:cs="Times New Roman"/>
        </w:rPr>
        <w:t xml:space="preserve">) ≤0.5; </w:t>
      </w:r>
    </w:p>
    <w:p w:rsidR="00A348EE" w:rsidRPr="004D724D" w:rsidRDefault="00A348EE" w:rsidP="00CF2A9E">
      <w:pPr>
        <w:pStyle w:val="Default"/>
        <w:numPr>
          <w:ilvl w:val="2"/>
          <w:numId w:val="14"/>
        </w:numPr>
        <w:spacing w:line="360" w:lineRule="auto"/>
        <w:ind w:left="1701"/>
        <w:jc w:val="both"/>
        <w:rPr>
          <w:rFonts w:ascii="Perpetua" w:hAnsi="Perpetua" w:cs="Times New Roman"/>
        </w:rPr>
      </w:pPr>
      <w:r w:rsidRPr="004D724D">
        <w:rPr>
          <w:rFonts w:ascii="Perpetua" w:hAnsi="Perpetua" w:cs="Times New Roman"/>
        </w:rPr>
        <w:lastRenderedPageBreak/>
        <w:t>un livello di qualità ambientale delle prestazioni ritenuto “avanzato”, conseguente a una d</w:t>
      </w:r>
      <w:r w:rsidRPr="004D724D">
        <w:rPr>
          <w:rFonts w:ascii="Perpetua" w:hAnsi="Perpetua" w:cs="Times New Roman"/>
        </w:rPr>
        <w:t>e</w:t>
      </w:r>
      <w:r w:rsidRPr="004D724D">
        <w:rPr>
          <w:rFonts w:ascii="Perpetua" w:hAnsi="Perpetua" w:cs="Times New Roman"/>
        </w:rPr>
        <w:t xml:space="preserve">terminazione di </w:t>
      </w:r>
      <w:r w:rsidRPr="004D724D">
        <w:rPr>
          <w:rFonts w:ascii="Cambria Math" w:hAnsi="Cambria Math" w:cs="Cambria Math"/>
        </w:rPr>
        <w:t>𝛾</w:t>
      </w:r>
      <w:r w:rsidRPr="004D724D">
        <w:rPr>
          <w:rFonts w:ascii="Perpetua" w:hAnsi="Perpetua" w:cs="Times New Roman"/>
        </w:rPr>
        <w:t>1,</w:t>
      </w:r>
      <w:r w:rsidRPr="004D724D">
        <w:rPr>
          <w:rFonts w:ascii="Cambria Math" w:hAnsi="Cambria Math" w:cs="Cambria Math"/>
        </w:rPr>
        <w:t>𝑎</w:t>
      </w:r>
      <w:r w:rsidRPr="004D724D">
        <w:rPr>
          <w:rFonts w:ascii="Perpetua" w:hAnsi="Perpetua" w:cs="Times New Roman"/>
        </w:rPr>
        <w:t xml:space="preserve"> e </w:t>
      </w:r>
      <w:r w:rsidRPr="004D724D">
        <w:rPr>
          <w:rFonts w:ascii="Cambria Math" w:hAnsi="Cambria Math" w:cs="Cambria Math"/>
        </w:rPr>
        <w:t>𝛾</w:t>
      </w:r>
      <w:r w:rsidRPr="004D724D">
        <w:rPr>
          <w:rFonts w:ascii="Perpetua" w:hAnsi="Perpetua" w:cs="Times New Roman"/>
        </w:rPr>
        <w:t>2,</w:t>
      </w:r>
      <w:r w:rsidRPr="004D724D">
        <w:rPr>
          <w:rFonts w:ascii="Cambria Math" w:hAnsi="Cambria Math" w:cs="Cambria Math"/>
        </w:rPr>
        <w:t>𝑎</w:t>
      </w:r>
      <w:r w:rsidRPr="004D724D">
        <w:rPr>
          <w:rFonts w:ascii="Perpetua" w:hAnsi="Perpetua" w:cs="Times New Roman"/>
        </w:rPr>
        <w:t xml:space="preserve"> – nell’ambito degli intervalli di cui all’Articolo 3 del MTR-2– da cui deriva che: (1+</w:t>
      </w:r>
      <w:r w:rsidRPr="004D724D">
        <w:rPr>
          <w:rFonts w:ascii="Cambria" w:hAnsi="Cambria" w:cs="Cambria"/>
        </w:rPr>
        <w:t>γ</w:t>
      </w:r>
      <w:r w:rsidRPr="004D724D">
        <w:rPr>
          <w:rFonts w:ascii="Cambria Math" w:hAnsi="Cambria Math" w:cs="Cambria Math"/>
        </w:rPr>
        <w:t>𝑎</w:t>
      </w:r>
      <w:r w:rsidRPr="004D724D">
        <w:rPr>
          <w:rFonts w:ascii="Perpetua" w:hAnsi="Perpetua" w:cs="Times New Roman"/>
        </w:rPr>
        <w:t xml:space="preserve">)&gt;0.5; dove: </w:t>
      </w:r>
      <w:r w:rsidRPr="004D724D">
        <w:rPr>
          <w:rFonts w:ascii="Cambria" w:hAnsi="Cambria" w:cs="Cambria"/>
        </w:rPr>
        <w:t>γ</w:t>
      </w:r>
      <w:r w:rsidRPr="004D724D">
        <w:rPr>
          <w:rFonts w:ascii="Cambria Math" w:hAnsi="Cambria Math" w:cs="Cambria Math"/>
        </w:rPr>
        <w:t>𝑎</w:t>
      </w:r>
      <w:r w:rsidRPr="004D724D">
        <w:rPr>
          <w:rFonts w:ascii="Perpetua" w:hAnsi="Perpetua" w:cs="Times New Roman"/>
        </w:rPr>
        <w:t xml:space="preserve"> = </w:t>
      </w:r>
      <w:r w:rsidRPr="004D724D">
        <w:rPr>
          <w:rFonts w:ascii="Cambria" w:hAnsi="Cambria" w:cs="Cambria"/>
        </w:rPr>
        <w:t>γ</w:t>
      </w:r>
      <w:r w:rsidRPr="004D724D">
        <w:rPr>
          <w:rFonts w:ascii="Perpetua" w:hAnsi="Perpetua" w:cs="Times New Roman"/>
        </w:rPr>
        <w:t>1,</w:t>
      </w:r>
      <w:r w:rsidRPr="004D724D">
        <w:rPr>
          <w:rFonts w:ascii="Cambria Math" w:hAnsi="Cambria Math" w:cs="Cambria Math"/>
        </w:rPr>
        <w:t>𝑎</w:t>
      </w:r>
      <w:r w:rsidRPr="004D724D">
        <w:rPr>
          <w:rFonts w:ascii="Perpetua" w:hAnsi="Perpetua" w:cs="Times New Roman"/>
        </w:rPr>
        <w:t xml:space="preserve"> + </w:t>
      </w:r>
      <w:r w:rsidRPr="004D724D">
        <w:rPr>
          <w:rFonts w:ascii="Cambria" w:hAnsi="Cambria" w:cs="Cambria"/>
        </w:rPr>
        <w:t>γ</w:t>
      </w:r>
      <w:r w:rsidRPr="004D724D">
        <w:rPr>
          <w:rFonts w:ascii="Perpetua" w:hAnsi="Perpetua" w:cs="Times New Roman"/>
        </w:rPr>
        <w:t>2,</w:t>
      </w:r>
      <w:r w:rsidRPr="004D724D">
        <w:rPr>
          <w:rFonts w:ascii="Cambria Math" w:hAnsi="Cambria Math" w:cs="Cambria Math"/>
        </w:rPr>
        <w:t>𝑎</w:t>
      </w:r>
      <w:r w:rsidRPr="004D724D">
        <w:rPr>
          <w:rFonts w:ascii="Perpetua" w:hAnsi="Perpetua" w:cs="Times New Roman"/>
        </w:rPr>
        <w:t xml:space="preserve"> </w:t>
      </w:r>
    </w:p>
    <w:p w:rsidR="00A348EE" w:rsidRPr="004D724D" w:rsidRDefault="00A348EE" w:rsidP="004D724D">
      <w:pPr>
        <w:pStyle w:val="Default"/>
        <w:spacing w:line="360" w:lineRule="auto"/>
        <w:jc w:val="both"/>
        <w:rPr>
          <w:rFonts w:ascii="Perpetua" w:hAnsi="Perpetua" w:cs="Times New Roman"/>
        </w:rPr>
      </w:pPr>
      <w:r w:rsidRPr="004D724D">
        <w:rPr>
          <w:rFonts w:ascii="Perpetua" w:hAnsi="Perpetua" w:cs="Times New Roman"/>
        </w:rPr>
        <w:t xml:space="preserve">il coefficiente </w:t>
      </w:r>
      <w:r w:rsidRPr="004D724D">
        <w:rPr>
          <w:rFonts w:ascii="Cambria Math" w:hAnsi="Cambria Math" w:cs="Cambria Math"/>
        </w:rPr>
        <w:t>𝑄𝐿𝑎</w:t>
      </w:r>
      <w:r w:rsidRPr="004D724D">
        <w:rPr>
          <w:rFonts w:ascii="Perpetua" w:hAnsi="Perpetua" w:cs="Times New Roman"/>
        </w:rPr>
        <w:t xml:space="preserve"> per il miglioramento previsto della qualità e delle caratteristiche delle prestazioni erogate agli utenti, che può essere valorizzato entro il limite del 4%, secondo quanto indicato nella tabella successiva; </w:t>
      </w:r>
    </w:p>
    <w:p w:rsidR="00A348EE" w:rsidRPr="004D724D" w:rsidRDefault="00A348EE" w:rsidP="00343223">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il coefficiente </w:t>
      </w:r>
      <w:r w:rsidRPr="004D724D">
        <w:rPr>
          <w:rFonts w:ascii="Cambria Math" w:hAnsi="Cambria Math" w:cs="Cambria Math"/>
        </w:rPr>
        <w:t>𝑃𝐺𝑎</w:t>
      </w:r>
      <w:r w:rsidRPr="004D724D">
        <w:rPr>
          <w:rFonts w:ascii="Perpetua" w:hAnsi="Perpetua" w:cs="Times New Roman"/>
        </w:rPr>
        <w:t xml:space="preserve"> connesso alle modifiche del perimetro gestionale con riferimento ad aspetti tecnici e/o operativi, che può essere valorizzato entro il limite del 3%, secondo quanto indicato nella tabella successiva;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sempre l’art. 4, al comma 4, prevede che, ai fini della determinazione del parametro che misura il l</w:t>
      </w:r>
      <w:r w:rsidRPr="004D724D">
        <w:rPr>
          <w:rFonts w:ascii="Perpetua" w:hAnsi="Perpetua" w:cs="Times New Roman"/>
        </w:rPr>
        <w:t>i</w:t>
      </w:r>
      <w:r w:rsidRPr="004D724D">
        <w:rPr>
          <w:rFonts w:ascii="Perpetua" w:hAnsi="Perpetua" w:cs="Times New Roman"/>
        </w:rPr>
        <w:t xml:space="preserve">mite alla crescita, l’ETC possa valorizzare il </w:t>
      </w:r>
      <w:r w:rsidRPr="004D724D">
        <w:rPr>
          <w:rFonts w:ascii="Perpetua" w:hAnsi="Perpetua" w:cs="Times New Roman"/>
          <w:b/>
          <w:bCs/>
        </w:rPr>
        <w:t xml:space="preserve">coefficiente </w:t>
      </w:r>
      <w:r w:rsidRPr="004D724D">
        <w:rPr>
          <w:rFonts w:ascii="Cambria Math" w:hAnsi="Cambria Math" w:cs="Cambria Math"/>
        </w:rPr>
        <w:t>𝐶</w:t>
      </w:r>
      <w:r w:rsidRPr="004D724D">
        <w:rPr>
          <w:rFonts w:ascii="Perpetua" w:hAnsi="Perpetua" w:cs="Times New Roman"/>
          <w:b/>
          <w:bCs/>
        </w:rPr>
        <w:t>116</w:t>
      </w:r>
      <w:r w:rsidRPr="004D724D">
        <w:rPr>
          <w:rFonts w:ascii="Cambria Math" w:hAnsi="Cambria Math" w:cs="Cambria Math"/>
        </w:rPr>
        <w:t>𝑎</w:t>
      </w:r>
      <w:r w:rsidRPr="004D724D">
        <w:rPr>
          <w:rFonts w:ascii="Perpetua" w:hAnsi="Perpetua" w:cs="Times New Roman"/>
        </w:rPr>
        <w:t xml:space="preserve"> per tenere conto della necessità di copertura delle componenti </w:t>
      </w:r>
      <w:r w:rsidRPr="004D724D">
        <w:rPr>
          <w:rFonts w:ascii="Cambria Math" w:hAnsi="Cambria Math" w:cs="Cambria Math"/>
        </w:rPr>
        <w:t>𝐶𝑂</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 xml:space="preserve"> 116,</w:t>
      </w:r>
      <w:r w:rsidRPr="004D724D">
        <w:rPr>
          <w:rFonts w:ascii="Cambria Math" w:hAnsi="Cambria Math" w:cs="Cambria Math"/>
        </w:rPr>
        <w:t>𝑇𝑉</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e </w:t>
      </w:r>
      <w:r w:rsidRPr="004D724D">
        <w:rPr>
          <w:rFonts w:ascii="Cambria Math" w:hAnsi="Cambria Math" w:cs="Cambria Math"/>
        </w:rPr>
        <w:t>𝐶𝑂</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 xml:space="preserve"> 116,</w:t>
      </w:r>
      <w:r w:rsidRPr="004D724D">
        <w:rPr>
          <w:rFonts w:ascii="Cambria Math" w:hAnsi="Cambria Math" w:cs="Cambria Math"/>
        </w:rPr>
        <w:t>𝑇𝐹</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di natura previsionale, conne</w:t>
      </w:r>
      <w:r w:rsidRPr="004D724D">
        <w:rPr>
          <w:rFonts w:ascii="Perpetua" w:hAnsi="Perpetua" w:cs="Times New Roman"/>
        </w:rPr>
        <w:t>s</w:t>
      </w:r>
      <w:r w:rsidRPr="004D724D">
        <w:rPr>
          <w:rFonts w:ascii="Perpetua" w:hAnsi="Perpetua" w:cs="Times New Roman"/>
        </w:rPr>
        <w:t>se agli scostamenti attesi (rispetto ai valori di costo effettivi dell’anno di riferimento) riconducibili alle novità normative introdotte dal decreto legislativo n. 116/20 (in particolare, in materia di qualific</w:t>
      </w:r>
      <w:r w:rsidRPr="004D724D">
        <w:rPr>
          <w:rFonts w:ascii="Perpetua" w:hAnsi="Perpetua" w:cs="Times New Roman"/>
        </w:rPr>
        <w:t>a</w:t>
      </w:r>
      <w:r w:rsidRPr="004D724D">
        <w:rPr>
          <w:rFonts w:ascii="Perpetua" w:hAnsi="Perpetua" w:cs="Times New Roman"/>
        </w:rPr>
        <w:t>zione dei rifiuti prodotti da utenze non domestiche e di possibilità per tale tipologia di utenza di conf</w:t>
      </w:r>
      <w:r w:rsidRPr="004D724D">
        <w:rPr>
          <w:rFonts w:ascii="Perpetua" w:hAnsi="Perpetua" w:cs="Times New Roman"/>
        </w:rPr>
        <w:t>e</w:t>
      </w:r>
      <w:r w:rsidRPr="004D724D">
        <w:rPr>
          <w:rFonts w:ascii="Perpetua" w:hAnsi="Perpetua" w:cs="Times New Roman"/>
        </w:rPr>
        <w:t xml:space="preserve">rire i rifiuti urbani al di fuori del servizio pubblico). Tale coefficiente può essere valorizzato entro il limite del 3%;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il comma 5 dell’art. 4 prevede che ”</w:t>
      </w:r>
      <w:r w:rsidRPr="004D724D">
        <w:rPr>
          <w:rFonts w:ascii="Perpetua" w:hAnsi="Perpetua" w:cs="Times New Roman"/>
          <w:i/>
          <w:iCs/>
        </w:rPr>
        <w:t>nel caso in cui il totale delle entrate tariffarie di riferimento ecceda il lim</w:t>
      </w:r>
      <w:r w:rsidRPr="004D724D">
        <w:rPr>
          <w:rFonts w:ascii="Perpetua" w:hAnsi="Perpetua" w:cs="Times New Roman"/>
          <w:i/>
          <w:iCs/>
        </w:rPr>
        <w:t>i</w:t>
      </w:r>
      <w:r w:rsidRPr="004D724D">
        <w:rPr>
          <w:rFonts w:ascii="Perpetua" w:hAnsi="Perpetua" w:cs="Times New Roman"/>
          <w:i/>
          <w:iCs/>
        </w:rPr>
        <w:t>te alla relativa variazione annuale, detta differenza - qualora validata dall’Ente territorialmente competente e dal medesimo ritenuta necessaria al mantenimento dell’equilibrio economico finanziario, nonché al perseguimento degli specifici obiettivi programmati - potrà essere rimodulata tra le diverse annualità del PEF pluriennale al fine di co</w:t>
      </w:r>
      <w:r w:rsidRPr="004D724D">
        <w:rPr>
          <w:rFonts w:ascii="Perpetua" w:hAnsi="Perpetua" w:cs="Times New Roman"/>
          <w:i/>
          <w:iCs/>
        </w:rPr>
        <w:t>n</w:t>
      </w:r>
      <w:r w:rsidRPr="004D724D">
        <w:rPr>
          <w:rFonts w:ascii="Perpetua" w:hAnsi="Perpetua" w:cs="Times New Roman"/>
          <w:i/>
          <w:iCs/>
        </w:rPr>
        <w:t>sentirne il riconoscimento nelle tariffe del quadriennio 2022-2025, comunque nel rispetto del limite di crescita a</w:t>
      </w:r>
      <w:r w:rsidRPr="004D724D">
        <w:rPr>
          <w:rFonts w:ascii="Perpetua" w:hAnsi="Perpetua" w:cs="Times New Roman"/>
          <w:i/>
          <w:iCs/>
        </w:rPr>
        <w:t>p</w:t>
      </w:r>
      <w:r w:rsidRPr="004D724D">
        <w:rPr>
          <w:rFonts w:ascii="Perpetua" w:hAnsi="Perpetua" w:cs="Times New Roman"/>
          <w:i/>
          <w:iCs/>
        </w:rPr>
        <w:t>plicato nelle pertinenti annualità</w:t>
      </w:r>
      <w:r w:rsidRPr="004D724D">
        <w:rPr>
          <w:rFonts w:ascii="Perpetua" w:hAnsi="Perpetua" w:cs="Times New Roman"/>
        </w:rPr>
        <w:t xml:space="preserve">.”;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i commi 6 e 7 dell’art. 4 prevedo</w:t>
      </w:r>
      <w:r w:rsidR="003C2C41" w:rsidRPr="004D724D">
        <w:rPr>
          <w:rFonts w:ascii="Perpetua" w:hAnsi="Perpetua" w:cs="Times New Roman"/>
        </w:rPr>
        <w:t>no</w:t>
      </w:r>
      <w:r w:rsidRPr="004D724D">
        <w:rPr>
          <w:rFonts w:ascii="Perpetua" w:hAnsi="Perpetua" w:cs="Times New Roman"/>
        </w:rPr>
        <w:t xml:space="preserve"> che ove l’ETC ritenga che il superamento del limite alla crescita sia necessario per assicurare il raggiungimento dei previsti miglioramenti di qualità ovvero per sosten</w:t>
      </w:r>
      <w:r w:rsidRPr="004D724D">
        <w:rPr>
          <w:rFonts w:ascii="Perpetua" w:hAnsi="Perpetua" w:cs="Times New Roman"/>
        </w:rPr>
        <w:t>e</w:t>
      </w:r>
      <w:r w:rsidRPr="004D724D">
        <w:rPr>
          <w:rFonts w:ascii="Perpetua" w:hAnsi="Perpetua" w:cs="Times New Roman"/>
        </w:rPr>
        <w:t>re il processo di integrazione delle attività gestite dovrà presentare ad ARERA una specifica relazione e, in aggiunta a quanto sopra, ove l’ETC accerti eventuali situazioni di squilibrio economico e finanziario provvederà a dettagliare puntualmente le modalità volte a recuperare la sostenibilità efficiente della g</w:t>
      </w:r>
      <w:r w:rsidRPr="004D724D">
        <w:rPr>
          <w:rFonts w:ascii="Perpetua" w:hAnsi="Perpetua" w:cs="Times New Roman"/>
        </w:rPr>
        <w:t>e</w:t>
      </w:r>
      <w:r w:rsidRPr="004D724D">
        <w:rPr>
          <w:rFonts w:ascii="Perpetua" w:hAnsi="Perpetua" w:cs="Times New Roman"/>
        </w:rPr>
        <w:t>stione, declinandone gli effetti nell’ambito del PEF pluriennale, eventualmente presentando una rev</w:t>
      </w:r>
      <w:r w:rsidRPr="004D724D">
        <w:rPr>
          <w:rFonts w:ascii="Perpetua" w:hAnsi="Perpetua" w:cs="Times New Roman"/>
        </w:rPr>
        <w:t>i</w:t>
      </w:r>
      <w:r w:rsidRPr="004D724D">
        <w:rPr>
          <w:rFonts w:ascii="Perpetua" w:hAnsi="Perpetua" w:cs="Times New Roman"/>
        </w:rPr>
        <w:t xml:space="preserve">sione infra periodo della predisposizione tariffaria;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l’art. 7 comma 1 in base al quale i costi ammessi a riconoscimento tariffario sono calcolati secondo cr</w:t>
      </w:r>
      <w:r w:rsidRPr="004D724D">
        <w:rPr>
          <w:rFonts w:ascii="Perpetua" w:hAnsi="Perpetua" w:cs="Times New Roman"/>
        </w:rPr>
        <w:t>i</w:t>
      </w:r>
      <w:r w:rsidRPr="004D724D">
        <w:rPr>
          <w:rFonts w:ascii="Perpetua" w:hAnsi="Perpetua" w:cs="Times New Roman"/>
        </w:rPr>
        <w:t>teri di efficienza, considerando i costi al netto dell’IVA detraibile e delle imposte. Nel caso di IVA i</w:t>
      </w:r>
      <w:r w:rsidRPr="004D724D">
        <w:rPr>
          <w:rFonts w:ascii="Perpetua" w:hAnsi="Perpetua" w:cs="Times New Roman"/>
        </w:rPr>
        <w:t>n</w:t>
      </w:r>
      <w:r w:rsidRPr="004D724D">
        <w:rPr>
          <w:rFonts w:ascii="Perpetua" w:hAnsi="Perpetua" w:cs="Times New Roman"/>
        </w:rPr>
        <w:lastRenderedPageBreak/>
        <w:t xml:space="preserve">detraibile, i costi riconosciuti devono comunque essere rappresentati fornendo separata evidenza degli oneri relativi all’IVA;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articolo 7 comma 2 da cui si rileva che i costi efficienti di esercizio e di investimento riconosciuti per ciascun anno </w:t>
      </w:r>
      <w:r w:rsidRPr="004D724D">
        <w:rPr>
          <w:rFonts w:ascii="Cambria Math" w:hAnsi="Cambria Math" w:cs="Cambria Math"/>
        </w:rPr>
        <w:t>𝑎</w:t>
      </w:r>
      <w:r w:rsidRPr="004D724D">
        <w:rPr>
          <w:rFonts w:ascii="Perpetua" w:hAnsi="Perpetua" w:cs="Times New Roman"/>
        </w:rPr>
        <w:t xml:space="preserve"> = {2022,2023,2024,2025} per il servizio del ciclo integrato, salvo che per le comp</w:t>
      </w:r>
      <w:r w:rsidRPr="004D724D">
        <w:rPr>
          <w:rFonts w:ascii="Perpetua" w:hAnsi="Perpetua" w:cs="Times New Roman"/>
        </w:rPr>
        <w:t>o</w:t>
      </w:r>
      <w:r w:rsidRPr="004D724D">
        <w:rPr>
          <w:rFonts w:ascii="Perpetua" w:hAnsi="Perpetua" w:cs="Times New Roman"/>
        </w:rPr>
        <w:t>nenti per le quali siano esplicitamente ammessi valori previsionali, sono determinati: 1) per l’anno 2022 sulla base di quelli effettivi rilevati nell’anno di riferimento (a-2) come risultanti da fonti contab</w:t>
      </w:r>
      <w:r w:rsidRPr="004D724D">
        <w:rPr>
          <w:rFonts w:ascii="Perpetua" w:hAnsi="Perpetua" w:cs="Times New Roman"/>
        </w:rPr>
        <w:t>i</w:t>
      </w:r>
      <w:r w:rsidRPr="004D724D">
        <w:rPr>
          <w:rFonts w:ascii="Perpetua" w:hAnsi="Perpetua" w:cs="Times New Roman"/>
        </w:rPr>
        <w:t>li obbligatorie; 2) per gli anni 2023, 2024 e 2025: a) in sede di prima approvazione: - con riferimento ai costi d’esercizio, sulla base dei dati di bilancio o di preconsuntivo relativi all’anno 2021 o, in ma</w:t>
      </w:r>
      <w:r w:rsidRPr="004D724D">
        <w:rPr>
          <w:rFonts w:ascii="Perpetua" w:hAnsi="Perpetua" w:cs="Times New Roman"/>
        </w:rPr>
        <w:t>n</w:t>
      </w:r>
      <w:r w:rsidRPr="004D724D">
        <w:rPr>
          <w:rFonts w:ascii="Perpetua" w:hAnsi="Perpetua" w:cs="Times New Roman"/>
        </w:rPr>
        <w:t>canza, con quelli dell’ultimo bilancio disponibile; - con riferimento ai costi d’investimento: i) per l’anno 2023 sulla base dei dati di bilancio o di preconsuntivo relativi all’anno 2021 o, in mancanza, con quelli dell’ultimo bilancio disponibile; ii) per gli anni 2024 e 2025, assumendo la completa realizzazi</w:t>
      </w:r>
      <w:r w:rsidRPr="004D724D">
        <w:rPr>
          <w:rFonts w:ascii="Perpetua" w:hAnsi="Perpetua" w:cs="Times New Roman"/>
        </w:rPr>
        <w:t>o</w:t>
      </w:r>
      <w:r w:rsidRPr="004D724D">
        <w:rPr>
          <w:rFonts w:ascii="Perpetua" w:hAnsi="Perpetua" w:cs="Times New Roman"/>
        </w:rPr>
        <w:t>ne degli interventi programmati, considerato che l’investimento realizzato nell’anno a rileva ai fini t</w:t>
      </w:r>
      <w:r w:rsidRPr="004D724D">
        <w:rPr>
          <w:rFonts w:ascii="Perpetua" w:hAnsi="Perpetua" w:cs="Times New Roman"/>
        </w:rPr>
        <w:t>a</w:t>
      </w:r>
      <w:r w:rsidRPr="004D724D">
        <w:rPr>
          <w:rFonts w:ascii="Perpetua" w:hAnsi="Perpetua" w:cs="Times New Roman"/>
        </w:rPr>
        <w:t>riffari nell’anno (a+2); b) in sede di aggiornamento biennale, le componenti di costo saranno rialline</w:t>
      </w:r>
      <w:r w:rsidRPr="004D724D">
        <w:rPr>
          <w:rFonts w:ascii="Perpetua" w:hAnsi="Perpetua" w:cs="Times New Roman"/>
        </w:rPr>
        <w:t>a</w:t>
      </w:r>
      <w:r w:rsidRPr="004D724D">
        <w:rPr>
          <w:rFonts w:ascii="Perpetua" w:hAnsi="Perpetua" w:cs="Times New Roman"/>
        </w:rPr>
        <w:t xml:space="preserve">te ai dati risultanti da fonti contabili obbligatorie dell’anno (a-2);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il comma 3 dell’art. 7 definisce i costi riconosciuti e le decurtazioni da operare sugli stessi;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8 stabilisce che per ciascun anno </w:t>
      </w:r>
      <w:r w:rsidRPr="004D724D">
        <w:rPr>
          <w:rFonts w:ascii="Cambria Math" w:hAnsi="Cambria Math" w:cs="Cambria Math"/>
        </w:rPr>
        <w:t>𝑎</w:t>
      </w:r>
      <w:r w:rsidRPr="004D724D">
        <w:rPr>
          <w:rFonts w:ascii="Perpetua" w:hAnsi="Perpetua" w:cs="Times New Roman"/>
        </w:rPr>
        <w:t xml:space="preserve"> = {2022, 2023, 2024, 2025}, i costi operativi di gestione </w:t>
      </w:r>
      <w:r w:rsidRPr="004D724D">
        <w:rPr>
          <w:rFonts w:ascii="Cambria Math" w:hAnsi="Cambria Math" w:cs="Cambria Math"/>
        </w:rPr>
        <w:t>𝐶𝐺𝑎</w:t>
      </w:r>
      <w:r w:rsidRPr="004D724D">
        <w:rPr>
          <w:rFonts w:ascii="Perpetua" w:hAnsi="Perpetua" w:cs="Times New Roman"/>
        </w:rPr>
        <w:t xml:space="preserve"> sono definiti dalla somma delle seguenti componenti di costo: </w:t>
      </w:r>
      <w:r w:rsidRPr="004D724D">
        <w:rPr>
          <w:rFonts w:ascii="Cambria Math" w:hAnsi="Cambria Math" w:cs="Cambria Math"/>
        </w:rPr>
        <w:t>𝐶𝐺𝑎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𝐶𝑆𝐿𝑎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𝐶𝑅𝑇𝑎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𝐶𝑇𝑆𝑎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𝐶𝑅𝐷𝑎</w:t>
      </w:r>
      <w:r w:rsidRPr="004D724D">
        <w:rPr>
          <w:rFonts w:ascii="Perpetua" w:hAnsi="Perpetua" w:cs="Times New Roman"/>
          <w:b/>
          <w:bCs/>
        </w:rPr>
        <w:t xml:space="preserve">+ </w:t>
      </w:r>
      <w:r w:rsidRPr="004D724D">
        <w:rPr>
          <w:rFonts w:ascii="Cambria Math" w:hAnsi="Cambria Math" w:cs="Cambria Math"/>
        </w:rPr>
        <w:t>𝐶𝑇𝑅𝑎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𝐶𝑂</w:t>
      </w:r>
      <w:r w:rsidRPr="004D724D">
        <w:rPr>
          <w:rFonts w:ascii="Perpetua" w:hAnsi="Perpetua" w:cs="Times New Roman"/>
          <w:b/>
          <w:bCs/>
        </w:rPr>
        <w:t xml:space="preserve">116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𝑇𝑉</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𝐶𝑂</w:t>
      </w:r>
      <w:r w:rsidRPr="004D724D">
        <w:rPr>
          <w:rFonts w:ascii="Perpetua" w:hAnsi="Perpetua" w:cs="Times New Roman"/>
          <w:b/>
          <w:bCs/>
        </w:rPr>
        <w:t xml:space="preserve">116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𝑇𝐹</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𝐶𝑄𝑇𝑉</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𝐶𝑄𝑇𝐹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𝐶𝑂𝐼𝑇𝑉</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𝐶𝑂𝐼𝑇𝐹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dove sinteticamente: </w:t>
      </w:r>
      <w:r w:rsidRPr="004D724D">
        <w:rPr>
          <w:rFonts w:ascii="Cambria Math" w:hAnsi="Cambria Math" w:cs="Cambria Math"/>
        </w:rPr>
        <w:t>𝐶𝑆𝐿𝑎</w:t>
      </w:r>
      <w:r w:rsidRPr="004D724D">
        <w:rPr>
          <w:rFonts w:ascii="Perpetua" w:hAnsi="Perpetua" w:cs="Times New Roman"/>
        </w:rPr>
        <w:t xml:space="preserve"> sono i costi di spazzamento e lavaggio strade; </w:t>
      </w:r>
      <w:r w:rsidRPr="004D724D">
        <w:rPr>
          <w:rFonts w:ascii="Cambria Math" w:hAnsi="Cambria Math" w:cs="Cambria Math"/>
        </w:rPr>
        <w:t>𝐶𝑅𝑇𝑎</w:t>
      </w:r>
      <w:r w:rsidRPr="004D724D">
        <w:rPr>
          <w:rFonts w:ascii="Perpetua" w:hAnsi="Perpetua" w:cs="Times New Roman"/>
        </w:rPr>
        <w:t xml:space="preserve"> sono i costi per l’attività di raccolta e trasporto dei rifiuti urbani indifferenziati; </w:t>
      </w:r>
      <w:r w:rsidRPr="004D724D">
        <w:rPr>
          <w:rFonts w:ascii="Cambria Math" w:hAnsi="Cambria Math" w:cs="Cambria Math"/>
        </w:rPr>
        <w:t>𝐶𝑇𝑆𝑎</w:t>
      </w:r>
      <w:r w:rsidRPr="004D724D">
        <w:rPr>
          <w:rFonts w:ascii="Perpetua" w:hAnsi="Perpetua" w:cs="Times New Roman"/>
        </w:rPr>
        <w:t xml:space="preserve"> sono i costi per l’attività di trattamento e smaltimento dei rifiuti urbani; </w:t>
      </w:r>
      <w:r w:rsidRPr="004D724D">
        <w:rPr>
          <w:rFonts w:ascii="Cambria Math" w:hAnsi="Cambria Math" w:cs="Cambria Math"/>
        </w:rPr>
        <w:t>𝐶𝑅𝐷𝑎</w:t>
      </w:r>
      <w:r w:rsidRPr="004D724D">
        <w:rPr>
          <w:rFonts w:ascii="Perpetua" w:hAnsi="Perpetua" w:cs="Times New Roman"/>
        </w:rPr>
        <w:t xml:space="preserve"> sono i costi per l’attività di raccolta e trasporto delle frazioni differenziate; </w:t>
      </w:r>
      <w:r w:rsidRPr="004D724D">
        <w:rPr>
          <w:rFonts w:ascii="Cambria Math" w:hAnsi="Cambria Math" w:cs="Cambria Math"/>
        </w:rPr>
        <w:t>𝐶𝑇𝑅𝑎</w:t>
      </w:r>
      <w:r w:rsidRPr="004D724D">
        <w:rPr>
          <w:rFonts w:ascii="Perpetua" w:hAnsi="Perpetua" w:cs="Times New Roman"/>
        </w:rPr>
        <w:t xml:space="preserve"> sono i costi per l’attività di tratt</w:t>
      </w:r>
      <w:r w:rsidRPr="004D724D">
        <w:rPr>
          <w:rFonts w:ascii="Perpetua" w:hAnsi="Perpetua" w:cs="Times New Roman"/>
        </w:rPr>
        <w:t>a</w:t>
      </w:r>
      <w:r w:rsidRPr="004D724D">
        <w:rPr>
          <w:rFonts w:ascii="Perpetua" w:hAnsi="Perpetua" w:cs="Times New Roman"/>
        </w:rPr>
        <w:t>mento e di recupero dei rifiuti urbani e delle operazioni per il conferimento delle frazioni della racco</w:t>
      </w:r>
      <w:r w:rsidRPr="004D724D">
        <w:rPr>
          <w:rFonts w:ascii="Perpetua" w:hAnsi="Perpetua" w:cs="Times New Roman"/>
        </w:rPr>
        <w:t>l</w:t>
      </w:r>
      <w:r w:rsidRPr="004D724D">
        <w:rPr>
          <w:rFonts w:ascii="Perpetua" w:hAnsi="Perpetua" w:cs="Times New Roman"/>
        </w:rPr>
        <w:t xml:space="preserve">ta differenziata alle piattaforme o agli impianti di trattamento (finalizzato al riciclo e al riutilizzo, o in generale al recupero); </w:t>
      </w:r>
      <w:r w:rsidRPr="004D724D">
        <w:rPr>
          <w:rFonts w:ascii="Cambria Math" w:hAnsi="Cambria Math" w:cs="Cambria Math"/>
        </w:rPr>
        <w:t>𝐶𝑂</w:t>
      </w:r>
      <w:r w:rsidRPr="004D724D">
        <w:rPr>
          <w:rFonts w:ascii="Perpetua" w:hAnsi="Perpetua" w:cs="Times New Roman"/>
        </w:rPr>
        <w:t xml:space="preserve">116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𝑇𝑉</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𝐶𝑂</w:t>
      </w:r>
      <w:r w:rsidRPr="004D724D">
        <w:rPr>
          <w:rFonts w:ascii="Perpetua" w:hAnsi="Perpetua" w:cs="Times New Roman"/>
        </w:rPr>
        <w:t>116</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𝑇𝐹</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w:t>
      </w:r>
      <w:r w:rsidRPr="004D724D">
        <w:rPr>
          <w:rFonts w:ascii="Cambria Math" w:hAnsi="Cambria Math" w:cs="Cambria Math"/>
        </w:rPr>
        <w:t>𝐶𝑄𝑇𝑉</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𝐶𝑄𝑇𝐹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𝐶𝑂𝐼𝑇𝑉</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 </w:t>
      </w:r>
      <w:r w:rsidRPr="004D724D">
        <w:rPr>
          <w:rFonts w:ascii="Cambria Math" w:hAnsi="Cambria Math" w:cs="Cambria Math"/>
        </w:rPr>
        <w:t>𝐶𝑂𝐼𝑇𝐹</w:t>
      </w:r>
      <w:r w:rsidRPr="004D724D">
        <w:rPr>
          <w:rFonts w:ascii="Perpetua" w:hAnsi="Perpetua" w:cs="Times New Roman"/>
        </w:rPr>
        <w:t xml:space="preserve"> </w:t>
      </w:r>
      <w:r w:rsidRPr="004D724D">
        <w:rPr>
          <w:rFonts w:ascii="Cambria Math" w:hAnsi="Cambria Math" w:cs="Cambria Math"/>
        </w:rPr>
        <w:t>𝑒𝑥𝑝</w:t>
      </w:r>
      <w:r w:rsidRPr="004D724D">
        <w:rPr>
          <w:rFonts w:ascii="Perpetua" w:hAnsi="Perpetua" w:cs="Times New Roman"/>
        </w:rPr>
        <w:t>,</w:t>
      </w:r>
      <w:r w:rsidRPr="004D724D">
        <w:rPr>
          <w:rFonts w:ascii="Cambria Math" w:hAnsi="Cambria Math" w:cs="Cambria Math"/>
        </w:rPr>
        <w:t>𝑎</w:t>
      </w:r>
      <w:r w:rsidRPr="004D724D">
        <w:rPr>
          <w:rFonts w:ascii="Perpetua" w:hAnsi="Perpetua" w:cs="Times New Roman"/>
        </w:rPr>
        <w:t xml:space="preserve"> sono le componenti di costi, variabili e fissi, di natura previsionale definite agli articoli 9 e 10;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11 stabilisce che per ciascun anno </w:t>
      </w:r>
      <w:r w:rsidRPr="004D724D">
        <w:rPr>
          <w:rFonts w:ascii="Cambria Math" w:hAnsi="Cambria Math" w:cs="Cambria Math"/>
        </w:rPr>
        <w:t>𝑎</w:t>
      </w:r>
      <w:r w:rsidRPr="004D724D">
        <w:rPr>
          <w:rFonts w:ascii="Perpetua" w:hAnsi="Perpetua" w:cs="Times New Roman"/>
        </w:rPr>
        <w:t xml:space="preserve"> = {2022, 2023, 2024, 2025}, i costi operativi comuni </w:t>
      </w:r>
      <w:r w:rsidRPr="004D724D">
        <w:rPr>
          <w:rFonts w:ascii="Cambria Math" w:hAnsi="Cambria Math" w:cs="Cambria Math"/>
        </w:rPr>
        <w:t>𝐶𝐶𝑎</w:t>
      </w:r>
      <w:r w:rsidRPr="004D724D">
        <w:rPr>
          <w:rFonts w:ascii="Perpetua" w:hAnsi="Perpetua" w:cs="Times New Roman"/>
        </w:rPr>
        <w:t xml:space="preserve"> sono pari a: </w:t>
      </w:r>
      <w:r w:rsidRPr="004D724D">
        <w:rPr>
          <w:rFonts w:ascii="Cambria Math" w:hAnsi="Cambria Math" w:cs="Cambria Math"/>
        </w:rPr>
        <w:t>𝐶𝐶𝑎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𝐶𝐴𝑅𝐶𝑎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𝐶𝐺𝐺𝑎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𝐶𝐶𝐷𝑎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𝐶𝑂𝐴𝐿</w:t>
      </w:r>
      <w:r w:rsidRPr="004D724D">
        <w:rPr>
          <w:rFonts w:ascii="Perpetua" w:hAnsi="Perpetua" w:cs="Times New Roman"/>
          <w:b/>
          <w:bCs/>
        </w:rPr>
        <w:t xml:space="preserve">, </w:t>
      </w:r>
      <w:r w:rsidRPr="004D724D">
        <w:rPr>
          <w:rFonts w:ascii="Cambria Math" w:hAnsi="Cambria Math" w:cs="Cambria Math"/>
        </w:rPr>
        <w:t>𝑎</w:t>
      </w:r>
      <w:r w:rsidRPr="004D724D">
        <w:rPr>
          <w:rFonts w:ascii="Perpetua" w:hAnsi="Perpetua" w:cs="Times New Roman"/>
          <w:b/>
          <w:bCs/>
        </w:rPr>
        <w:t xml:space="preserve">, </w:t>
      </w:r>
      <w:r w:rsidRPr="004D724D">
        <w:rPr>
          <w:rFonts w:ascii="Perpetua" w:hAnsi="Perpetua" w:cs="Times New Roman"/>
        </w:rPr>
        <w:t xml:space="preserve">dove sinteticamente: </w:t>
      </w:r>
      <w:r w:rsidRPr="004D724D">
        <w:rPr>
          <w:rFonts w:ascii="Cambria Math" w:hAnsi="Cambria Math" w:cs="Cambria Math"/>
        </w:rPr>
        <w:t>𝐶𝐴𝑅𝐶𝑎</w:t>
      </w:r>
      <w:r w:rsidRPr="004D724D">
        <w:rPr>
          <w:rFonts w:ascii="Perpetua" w:hAnsi="Perpetua" w:cs="Times New Roman"/>
        </w:rPr>
        <w:t xml:space="preserve"> sono i c</w:t>
      </w:r>
      <w:r w:rsidRPr="004D724D">
        <w:rPr>
          <w:rFonts w:ascii="Perpetua" w:hAnsi="Perpetua" w:cs="Times New Roman"/>
        </w:rPr>
        <w:t>o</w:t>
      </w:r>
      <w:r w:rsidRPr="004D724D">
        <w:rPr>
          <w:rFonts w:ascii="Perpetua" w:hAnsi="Perpetua" w:cs="Times New Roman"/>
        </w:rPr>
        <w:t xml:space="preserve">sti operativi per l’attività di gestione delle tariffe e dei apporti con gli utenti; </w:t>
      </w:r>
      <w:r w:rsidRPr="004D724D">
        <w:rPr>
          <w:rFonts w:ascii="Cambria Math" w:hAnsi="Cambria Math" w:cs="Cambria Math"/>
        </w:rPr>
        <w:t>𝐶𝐺𝐺𝑎</w:t>
      </w:r>
      <w:r w:rsidRPr="004D724D">
        <w:rPr>
          <w:rFonts w:ascii="Perpetua" w:hAnsi="Perpetua" w:cs="Times New Roman"/>
        </w:rPr>
        <w:t xml:space="preserve"> sono i costi gen</w:t>
      </w:r>
      <w:r w:rsidRPr="004D724D">
        <w:rPr>
          <w:rFonts w:ascii="Perpetua" w:hAnsi="Perpetua" w:cs="Times New Roman"/>
        </w:rPr>
        <w:t>e</w:t>
      </w:r>
      <w:r w:rsidRPr="004D724D">
        <w:rPr>
          <w:rFonts w:ascii="Perpetua" w:hAnsi="Perpetua" w:cs="Times New Roman"/>
        </w:rPr>
        <w:t xml:space="preserve">rali di gestione relativi sia al personale non direttamente impiegato nelle attività operative del servizio </w:t>
      </w:r>
      <w:r w:rsidRPr="004D724D">
        <w:rPr>
          <w:rFonts w:ascii="Perpetua" w:hAnsi="Perpetua" w:cs="Times New Roman"/>
        </w:rPr>
        <w:lastRenderedPageBreak/>
        <w:t xml:space="preserve">integrato di gestione dei RU, sia, in generale, la quota parte dei costi di struttura; </w:t>
      </w:r>
      <w:r w:rsidRPr="004D724D">
        <w:rPr>
          <w:rFonts w:ascii="Cambria Math" w:hAnsi="Cambria Math" w:cs="Cambria Math"/>
        </w:rPr>
        <w:t>𝐶𝐶𝐷𝑎</w:t>
      </w:r>
      <w:r w:rsidRPr="004D724D">
        <w:rPr>
          <w:rFonts w:ascii="Perpetua" w:hAnsi="Perpetua" w:cs="Times New Roman"/>
        </w:rPr>
        <w:t xml:space="preserve"> sono i costi relativi alla quota di crediti inesigibili; </w:t>
      </w:r>
      <w:r w:rsidRPr="004D724D">
        <w:rPr>
          <w:rFonts w:ascii="Cambria Math" w:hAnsi="Cambria Math" w:cs="Cambria Math"/>
        </w:rPr>
        <w:t>𝐶𝑂𝐴𝐿</w:t>
      </w:r>
      <w:r w:rsidRPr="004D724D">
        <w:rPr>
          <w:rFonts w:ascii="Perpetua" w:hAnsi="Perpetua" w:cs="Times New Roman"/>
        </w:rPr>
        <w:t xml:space="preserve">, </w:t>
      </w:r>
      <w:r w:rsidRPr="004D724D">
        <w:rPr>
          <w:rFonts w:ascii="Cambria Math" w:hAnsi="Cambria Math" w:cs="Cambria Math"/>
        </w:rPr>
        <w:t>𝑎</w:t>
      </w:r>
      <w:r w:rsidRPr="004D724D">
        <w:rPr>
          <w:rFonts w:ascii="Perpetua" w:hAnsi="Perpetua" w:cs="Times New Roman"/>
        </w:rPr>
        <w:t xml:space="preserve"> include la quota degli oneri di funzionamento degli ETC, di ARERA, nonché gli oneri locali, che comprendono gli oneri aggiuntivi per can</w:t>
      </w:r>
      <w:r w:rsidRPr="004D724D">
        <w:rPr>
          <w:rFonts w:ascii="Perpetua" w:hAnsi="Perpetua" w:cs="Times New Roman"/>
        </w:rPr>
        <w:t>o</w:t>
      </w:r>
      <w:r w:rsidRPr="004D724D">
        <w:rPr>
          <w:rFonts w:ascii="Perpetua" w:hAnsi="Perpetua" w:cs="Times New Roman"/>
        </w:rPr>
        <w:t>ni/compensazioni territoriali, gli altri oneri tributari locali, gli eventuali oneri relativi a fondi perequ</w:t>
      </w:r>
      <w:r w:rsidRPr="004D724D">
        <w:rPr>
          <w:rFonts w:ascii="Perpetua" w:hAnsi="Perpetua" w:cs="Times New Roman"/>
        </w:rPr>
        <w:t>a</w:t>
      </w:r>
      <w:r w:rsidRPr="004D724D">
        <w:rPr>
          <w:rFonts w:ascii="Perpetua" w:hAnsi="Perpetua" w:cs="Times New Roman"/>
        </w:rPr>
        <w:t xml:space="preserve">tivi fissati dall’ETC;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12 indica che per ciascun anno </w:t>
      </w:r>
      <w:r w:rsidRPr="004D724D">
        <w:rPr>
          <w:rFonts w:ascii="Cambria Math" w:hAnsi="Cambria Math" w:cs="Cambria Math"/>
        </w:rPr>
        <w:t>𝑎</w:t>
      </w:r>
      <w:r w:rsidRPr="004D724D">
        <w:rPr>
          <w:rFonts w:ascii="Perpetua" w:hAnsi="Perpetua" w:cs="Times New Roman"/>
        </w:rPr>
        <w:t xml:space="preserve"> = {2022, 2023, 2024, 2025}, i costi d'uso del capitale </w:t>
      </w:r>
      <w:r w:rsidRPr="004D724D">
        <w:rPr>
          <w:rFonts w:ascii="Cambria Math" w:hAnsi="Cambria Math" w:cs="Cambria Math"/>
        </w:rPr>
        <w:t>𝐶𝐾𝑎</w:t>
      </w:r>
      <w:r w:rsidRPr="004D724D">
        <w:rPr>
          <w:rFonts w:ascii="Perpetua" w:hAnsi="Perpetua" w:cs="Times New Roman"/>
        </w:rPr>
        <w:t xml:space="preserve"> sono pari a: </w:t>
      </w:r>
      <w:r w:rsidRPr="004D724D">
        <w:rPr>
          <w:rFonts w:ascii="Cambria Math" w:hAnsi="Cambria Math" w:cs="Cambria Math"/>
        </w:rPr>
        <w:t>𝐶𝐾𝑎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𝐴𝑚𝑚𝑎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𝐴𝑐𝑐𝑎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𝑅𝑎</w:t>
      </w:r>
      <w:r w:rsidRPr="004D724D">
        <w:rPr>
          <w:rFonts w:ascii="Perpetua" w:hAnsi="Perpetua" w:cs="Times New Roman"/>
        </w:rPr>
        <w:t xml:space="preserve"> </w:t>
      </w:r>
      <w:r w:rsidRPr="004D724D">
        <w:rPr>
          <w:rFonts w:ascii="Perpetua" w:hAnsi="Perpetua" w:cs="Times New Roman"/>
          <w:b/>
          <w:bCs/>
        </w:rPr>
        <w:t xml:space="preserve">+ </w:t>
      </w:r>
      <w:r w:rsidRPr="004D724D">
        <w:rPr>
          <w:rFonts w:ascii="Cambria Math" w:hAnsi="Cambria Math" w:cs="Cambria Math"/>
        </w:rPr>
        <w:t>𝑅𝐿𝐼𝐶</w:t>
      </w:r>
      <w:r w:rsidRPr="004D724D">
        <w:rPr>
          <w:rFonts w:ascii="Perpetua" w:hAnsi="Perpetua" w:cs="Times New Roman"/>
          <w:b/>
          <w:bCs/>
        </w:rPr>
        <w:t xml:space="preserve">, </w:t>
      </w:r>
      <w:r w:rsidRPr="004D724D">
        <w:rPr>
          <w:rFonts w:ascii="Cambria Math" w:hAnsi="Cambria Math" w:cs="Cambria Math"/>
        </w:rPr>
        <w:t>𝑎</w:t>
      </w:r>
      <w:r w:rsidRPr="004D724D">
        <w:rPr>
          <w:rFonts w:ascii="Perpetua" w:hAnsi="Perpetua" w:cs="Times New Roman"/>
        </w:rPr>
        <w:t xml:space="preserve">, dove: dove: </w:t>
      </w:r>
      <w:r w:rsidRPr="004D724D">
        <w:rPr>
          <w:rFonts w:ascii="Cambria Math" w:hAnsi="Cambria Math" w:cs="Cambria Math"/>
        </w:rPr>
        <w:t>𝐴𝑚𝑚𝑎</w:t>
      </w:r>
      <w:r w:rsidRPr="004D724D">
        <w:rPr>
          <w:rFonts w:ascii="Perpetua" w:hAnsi="Perpetua" w:cs="Times New Roman"/>
        </w:rPr>
        <w:t xml:space="preserve"> è la componente a c</w:t>
      </w:r>
      <w:r w:rsidRPr="004D724D">
        <w:rPr>
          <w:rFonts w:ascii="Perpetua" w:hAnsi="Perpetua" w:cs="Times New Roman"/>
        </w:rPr>
        <w:t>o</w:t>
      </w:r>
      <w:r w:rsidRPr="004D724D">
        <w:rPr>
          <w:rFonts w:ascii="Perpetua" w:hAnsi="Perpetua" w:cs="Times New Roman"/>
        </w:rPr>
        <w:t xml:space="preserve">pertura degli ammortamenti delle immobilizzazioni del gestore; </w:t>
      </w:r>
      <w:r w:rsidRPr="004D724D">
        <w:rPr>
          <w:rFonts w:ascii="Cambria Math" w:hAnsi="Cambria Math" w:cs="Cambria Math"/>
        </w:rPr>
        <w:t>𝐴𝑐𝑐𝑎</w:t>
      </w:r>
      <w:r w:rsidRPr="004D724D">
        <w:rPr>
          <w:rFonts w:ascii="Perpetua" w:hAnsi="Perpetua" w:cs="Times New Roman"/>
        </w:rPr>
        <w:t xml:space="preserve"> è la componente a copertura degli accantonamenti ammessi al riconoscimento tariffario; </w:t>
      </w:r>
      <w:r w:rsidRPr="004D724D">
        <w:rPr>
          <w:rFonts w:ascii="Cambria Math" w:hAnsi="Cambria Math" w:cs="Cambria Math"/>
        </w:rPr>
        <w:t>𝑅𝑎</w:t>
      </w:r>
      <w:r w:rsidRPr="004D724D">
        <w:rPr>
          <w:rFonts w:ascii="Perpetua" w:hAnsi="Perpetua" w:cs="Times New Roman"/>
        </w:rPr>
        <w:t xml:space="preserve"> è la componente relativa alla remun</w:t>
      </w:r>
      <w:r w:rsidRPr="004D724D">
        <w:rPr>
          <w:rFonts w:ascii="Perpetua" w:hAnsi="Perpetua" w:cs="Times New Roman"/>
        </w:rPr>
        <w:t>e</w:t>
      </w:r>
      <w:r w:rsidRPr="004D724D">
        <w:rPr>
          <w:rFonts w:ascii="Perpetua" w:hAnsi="Perpetua" w:cs="Times New Roman"/>
        </w:rPr>
        <w:t xml:space="preserve">razione del capitale investito netto; </w:t>
      </w:r>
      <w:r w:rsidRPr="004D724D">
        <w:rPr>
          <w:rFonts w:ascii="Cambria Math" w:hAnsi="Cambria Math" w:cs="Cambria Math"/>
        </w:rPr>
        <w:t>𝑅𝐿𝐼𝐶</w:t>
      </w:r>
      <w:r w:rsidRPr="004D724D">
        <w:rPr>
          <w:rFonts w:ascii="Perpetua" w:hAnsi="Perpetua" w:cs="Times New Roman"/>
        </w:rPr>
        <w:t xml:space="preserve">, </w:t>
      </w:r>
      <w:r w:rsidRPr="004D724D">
        <w:rPr>
          <w:rFonts w:ascii="Cambria Math" w:hAnsi="Cambria Math" w:cs="Cambria Math"/>
        </w:rPr>
        <w:t>𝑎</w:t>
      </w:r>
      <w:r w:rsidRPr="004D724D">
        <w:rPr>
          <w:rFonts w:ascii="Perpetua" w:hAnsi="Perpetua" w:cs="Times New Roman"/>
        </w:rPr>
        <w:t xml:space="preserve"> è la componente relativa alla remunerazione delle imm</w:t>
      </w:r>
      <w:r w:rsidRPr="004D724D">
        <w:rPr>
          <w:rFonts w:ascii="Perpetua" w:hAnsi="Perpetua" w:cs="Times New Roman"/>
        </w:rPr>
        <w:t>o</w:t>
      </w:r>
      <w:r w:rsidRPr="004D724D">
        <w:rPr>
          <w:rFonts w:ascii="Perpetua" w:hAnsi="Perpetua" w:cs="Times New Roman"/>
        </w:rPr>
        <w:t>bilizzazioni in corso di cui ai commi;</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l’articolo 17 indica che per ciascun anno </w:t>
      </w:r>
      <w:r w:rsidRPr="004D724D">
        <w:rPr>
          <w:rFonts w:ascii="Cambria Math" w:hAnsi="Cambria Math" w:cs="Cambria Math"/>
        </w:rPr>
        <w:t>𝑎</w:t>
      </w:r>
      <w:r w:rsidRPr="004D724D">
        <w:rPr>
          <w:rFonts w:ascii="Perpetua" w:hAnsi="Perpetua" w:cs="Times New Roman"/>
        </w:rPr>
        <w:t xml:space="preserve"> = {2022, 2023, 2024, 2025}, vengono determinate le componenti a conguaglio </w:t>
      </w:r>
      <w:r w:rsidRPr="004D724D">
        <w:rPr>
          <w:rFonts w:ascii="Cambria Math" w:hAnsi="Cambria Math" w:cs="Cambria Math"/>
        </w:rPr>
        <w:t>𝑅𝐶𝑡𝑜𝑡𝑇𝑉</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corrispondente ai costi variabili riferiti alle annualità pregresse e </w:t>
      </w:r>
      <w:r w:rsidRPr="004D724D">
        <w:rPr>
          <w:rFonts w:ascii="Cambria Math" w:hAnsi="Cambria Math" w:cs="Cambria Math"/>
        </w:rPr>
        <w:t>𝑅𝐶𝑡𝑜𝑡𝑇𝐹</w:t>
      </w:r>
      <w:r w:rsidRPr="004D724D">
        <w:rPr>
          <w:rFonts w:ascii="Perpetua" w:hAnsi="Perpetua" w:cs="Times New Roman"/>
          <w:b/>
          <w:bCs/>
        </w:rPr>
        <w:t>,</w:t>
      </w:r>
      <w:r w:rsidRPr="004D724D">
        <w:rPr>
          <w:rFonts w:ascii="Cambria Math" w:hAnsi="Cambria Math" w:cs="Cambria Math"/>
        </w:rPr>
        <w:t>𝑎</w:t>
      </w:r>
      <w:r w:rsidRPr="004D724D">
        <w:rPr>
          <w:rFonts w:ascii="Perpetua" w:hAnsi="Perpetua" w:cs="Times New Roman"/>
        </w:rPr>
        <w:t xml:space="preserve">, relativa ai costi fissi riferiti alle annualità pregresse, le cui fattispecie sono nel dettaglio indicate, rispettivamente, nei successivi articoli 18 e 19;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gli articoli da 21 a 26 fissano le modalità di determinazione delle tariffe di accesso agli impianti di tra</w:t>
      </w:r>
      <w:r w:rsidRPr="004D724D">
        <w:rPr>
          <w:rFonts w:ascii="Perpetua" w:hAnsi="Perpetua" w:cs="Times New Roman"/>
        </w:rPr>
        <w:t>t</w:t>
      </w:r>
      <w:r w:rsidRPr="004D724D">
        <w:rPr>
          <w:rFonts w:ascii="Perpetua" w:hAnsi="Perpetua" w:cs="Times New Roman"/>
        </w:rPr>
        <w:t xml:space="preserve">tamento;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l’art. 27 indica i contenti minimi del PEF;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l’art 28, comma 1 e 2 precisano che la validazione del PEF spettante all’ETC concerne almeno la ver</w:t>
      </w:r>
      <w:r w:rsidRPr="004D724D">
        <w:rPr>
          <w:rFonts w:ascii="Perpetua" w:hAnsi="Perpetua" w:cs="Times New Roman"/>
        </w:rPr>
        <w:t>i</w:t>
      </w:r>
      <w:r w:rsidRPr="004D724D">
        <w:rPr>
          <w:rFonts w:ascii="Perpetua" w:hAnsi="Perpetua" w:cs="Times New Roman"/>
        </w:rPr>
        <w:t>fica: i) della coerenza, della completezza e della congruità degli elementi di costo riportati nel PEF r</w:t>
      </w:r>
      <w:r w:rsidRPr="004D724D">
        <w:rPr>
          <w:rFonts w:ascii="Perpetua" w:hAnsi="Perpetua" w:cs="Times New Roman"/>
        </w:rPr>
        <w:t>i</w:t>
      </w:r>
      <w:r w:rsidRPr="004D724D">
        <w:rPr>
          <w:rFonts w:ascii="Perpetua" w:hAnsi="Perpetua" w:cs="Times New Roman"/>
        </w:rPr>
        <w:t>spetto ai dati contabili dei gestori; ii) del rispetto della metodologia prevista dal presente provved</w:t>
      </w:r>
      <w:r w:rsidRPr="004D724D">
        <w:rPr>
          <w:rFonts w:ascii="Perpetua" w:hAnsi="Perpetua" w:cs="Times New Roman"/>
        </w:rPr>
        <w:t>i</w:t>
      </w:r>
      <w:r w:rsidRPr="004D724D">
        <w:rPr>
          <w:rFonts w:ascii="Perpetua" w:hAnsi="Perpetua" w:cs="Times New Roman"/>
        </w:rPr>
        <w:t>mento per la determinazione dei costi riconosciuti; iii) del rispetto dell’equilibrio economico finanzi</w:t>
      </w:r>
      <w:r w:rsidRPr="004D724D">
        <w:rPr>
          <w:rFonts w:ascii="Perpetua" w:hAnsi="Perpetua" w:cs="Times New Roman"/>
        </w:rPr>
        <w:t>a</w:t>
      </w:r>
      <w:r w:rsidRPr="004D724D">
        <w:rPr>
          <w:rFonts w:ascii="Perpetua" w:hAnsi="Perpetua" w:cs="Times New Roman"/>
        </w:rPr>
        <w:t>rio del gestore, comunicando a quest’ultimo gli esiti delle valutazioni al riguardo compiute, nonché motivando le scelte adottate nell’ambito dell’attività di eventuale integrazione e modifica dei dati, de</w:t>
      </w:r>
      <w:r w:rsidRPr="004D724D">
        <w:rPr>
          <w:rFonts w:ascii="Perpetua" w:hAnsi="Perpetua" w:cs="Times New Roman"/>
        </w:rPr>
        <w:t>l</w:t>
      </w:r>
      <w:r w:rsidRPr="004D724D">
        <w:rPr>
          <w:rFonts w:ascii="Perpetua" w:hAnsi="Perpetua" w:cs="Times New Roman"/>
        </w:rPr>
        <w:t xml:space="preserve">le informazioni e gli atti trasmessi dal gestore medesimo, secondo criteri funzionali al riconoscimento dei costi efficienti di investimento e di esercizio; </w:t>
      </w:r>
    </w:p>
    <w:p w:rsidR="00CE6381" w:rsidRPr="004D724D" w:rsidRDefault="00CE6381"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l’art. 28 comma 4 precisa che Il PEF viene aggiornato con cadenza biennale secondo le modalità e i cr</w:t>
      </w:r>
      <w:r w:rsidRPr="004D724D">
        <w:rPr>
          <w:rFonts w:ascii="Perpetua" w:hAnsi="Perpetua" w:cs="Times New Roman"/>
        </w:rPr>
        <w:t>i</w:t>
      </w:r>
      <w:r w:rsidRPr="004D724D">
        <w:rPr>
          <w:rFonts w:ascii="Perpetua" w:hAnsi="Perpetua" w:cs="Times New Roman"/>
        </w:rPr>
        <w:t>teri individuati dall’Autorità nell’ambito di un successivo procedimento, ferma restando la possibilità della relativa revisione infra periodo (in qualsiasi momento del secondo periodo regolatorio), qualora ritenuto necessario dall’organismo competente, al verificarsi di circostanze straordinarie e tali da pr</w:t>
      </w:r>
      <w:r w:rsidRPr="004D724D">
        <w:rPr>
          <w:rFonts w:ascii="Perpetua" w:hAnsi="Perpetua" w:cs="Times New Roman"/>
        </w:rPr>
        <w:t>e</w:t>
      </w:r>
      <w:r w:rsidRPr="004D724D">
        <w:rPr>
          <w:rFonts w:ascii="Perpetua" w:hAnsi="Perpetua" w:cs="Times New Roman"/>
        </w:rPr>
        <w:t xml:space="preserve">giudicare gli obiettivi indicati nel PEF medesimo. </w:t>
      </w:r>
    </w:p>
    <w:p w:rsidR="005F5BA6" w:rsidRPr="004D724D" w:rsidRDefault="0068183B" w:rsidP="004D724D">
      <w:pPr>
        <w:spacing w:line="360" w:lineRule="auto"/>
        <w:jc w:val="both"/>
        <w:rPr>
          <w:rFonts w:ascii="Perpetua" w:hAnsi="Perpetua" w:cs="Times New Roman"/>
        </w:rPr>
      </w:pPr>
      <w:r w:rsidRPr="004D724D">
        <w:rPr>
          <w:rFonts w:ascii="Perpetua" w:hAnsi="Perpetua" w:cs="Times New Roman"/>
          <w:b/>
          <w:bCs/>
        </w:rPr>
        <w:t xml:space="preserve">Vista </w:t>
      </w:r>
      <w:r w:rsidRPr="004D724D">
        <w:rPr>
          <w:rFonts w:ascii="Perpetua" w:hAnsi="Perpetua" w:cs="Times New Roman"/>
        </w:rPr>
        <w:t>la determinazione ARERA del 6 novembre 2023 n. 1/DTAC/2023 ed in particolare:</w:t>
      </w:r>
    </w:p>
    <w:p w:rsidR="0068183B" w:rsidRPr="004D724D" w:rsidRDefault="0068183B" w:rsidP="004D724D">
      <w:pPr>
        <w:pStyle w:val="Paragrafoelenco"/>
        <w:numPr>
          <w:ilvl w:val="0"/>
          <w:numId w:val="14"/>
        </w:numPr>
        <w:spacing w:line="360" w:lineRule="auto"/>
        <w:jc w:val="both"/>
        <w:rPr>
          <w:rFonts w:ascii="Perpetua" w:hAnsi="Perpetua" w:cs="Times New Roman"/>
          <w:i/>
          <w:iCs/>
          <w:szCs w:val="24"/>
        </w:rPr>
      </w:pPr>
      <w:r w:rsidRPr="004D724D">
        <w:rPr>
          <w:rFonts w:ascii="Perpetua" w:hAnsi="Perpetua" w:cs="Times New Roman"/>
          <w:szCs w:val="24"/>
        </w:rPr>
        <w:lastRenderedPageBreak/>
        <w:t>Articolo 1 “Approvazione degli schemi tipo degli atti costituenti la proposta tariffaria e modalità operative per la loro trasmissione”</w:t>
      </w:r>
      <w:r w:rsidRPr="004D724D">
        <w:rPr>
          <w:rFonts w:ascii="Perpetua" w:hAnsi="Perpetua" w:cs="Times New Roman"/>
          <w:i/>
          <w:iCs/>
          <w:szCs w:val="24"/>
        </w:rPr>
        <w:t xml:space="preserve"> “1.1 In attuazione della previsione contenuta nel comma 9.2 della deliberazione 389/2023/R/RIF, sono adottati i seguenti schemi tipo: a) il tool di calcolo comprensivo dello schema di piano economico-finanziario di aggiornamento tariffario biennale 2024-2025 di cui all’Allegato 1; b) lo schema tipo di relazione di accompagnamento di cui all’Allegato 2; c) lo schema tipo di dichiarazione di veridicità per i gestori di diritto privato di cui all’Allegato 3, e per i gestori di diritto pubblico di cui all’Allegato 4. 1.2 Gli Enti territorialmente competenti, ai fini dell’approvazione da parte dell’Autorità, provvedono, per ciascun ambito tariffario di propria pertinenza, alla trasmissione degli atti, dei dati e della documentazione di cui ai commi 7.1 e 7.3 della deliberazione 363/2021/R/RIF, tramite apposita procedura resa disponibile via extranet, con compilazione di maschere web e caricamento di moduli reperibili sul sito, nonché degli ulteriori atti e informazioni richiesti, inviando in particolare la seguente documentazione: a) il piano economico-finanziario di aggiornamento tariffario biennale 2024-2025, la relazione di accompagnamento e la/e dichiarazione/i di veridicità del/i gestore/i, redatti secondo gli schemi-tipo di cui al comma 1.1; b) le delibere di approvazione del piano economico-finanziario di aggiornamento tariffario biennale 2024-2025 e dei corrispettivi per l’utenza finale relativi alle annualità 2023 e 2024”;</w:t>
      </w:r>
    </w:p>
    <w:p w:rsidR="0068183B" w:rsidRPr="004D724D" w:rsidRDefault="0068183B" w:rsidP="004D724D">
      <w:pPr>
        <w:pStyle w:val="Paragrafoelenco"/>
        <w:numPr>
          <w:ilvl w:val="0"/>
          <w:numId w:val="14"/>
        </w:numPr>
        <w:spacing w:line="360" w:lineRule="auto"/>
        <w:jc w:val="both"/>
        <w:rPr>
          <w:rFonts w:ascii="Perpetua" w:hAnsi="Perpetua" w:cs="Times New Roman"/>
          <w:i/>
          <w:iCs/>
          <w:szCs w:val="24"/>
        </w:rPr>
      </w:pPr>
      <w:proofErr w:type="spellStart"/>
      <w:r w:rsidRPr="004D724D">
        <w:rPr>
          <w:rFonts w:ascii="Perpetua" w:hAnsi="Perpetua" w:cs="Times New Roman"/>
          <w:i/>
          <w:iCs/>
          <w:szCs w:val="24"/>
        </w:rPr>
        <w:t>Artciolo</w:t>
      </w:r>
      <w:proofErr w:type="spellEnd"/>
      <w:r w:rsidRPr="004D724D">
        <w:rPr>
          <w:rFonts w:ascii="Perpetua" w:hAnsi="Perpetua" w:cs="Times New Roman"/>
          <w:i/>
          <w:iCs/>
          <w:szCs w:val="24"/>
        </w:rPr>
        <w:t xml:space="preserve"> 3 “</w:t>
      </w:r>
      <w:r w:rsidRPr="004D724D">
        <w:rPr>
          <w:rFonts w:ascii="Perpetua" w:hAnsi="Perpetua" w:cs="Times New Roman"/>
          <w:szCs w:val="24"/>
        </w:rPr>
        <w:t xml:space="preserve">Chiarimenti applicativi e disposizioni finali”, </w:t>
      </w:r>
      <w:r w:rsidRPr="004D724D">
        <w:rPr>
          <w:rFonts w:ascii="Perpetua" w:hAnsi="Perpetua" w:cs="Times New Roman"/>
          <w:i/>
          <w:iCs/>
          <w:szCs w:val="24"/>
        </w:rPr>
        <w:t xml:space="preserve">“3.1 Ai fini della determinazione delle entrate tariffarie di riferimento di cui all’articolo 2 del MTR-2 e all’articolo 1 della deliberazione 389/2023/R/RIF, i criteri applicati e le eventuali specificità che caratterizzano la valorizzazione delle partite di costo e di ricavo necessarie per la predisposizione del piano economico-finanziario di aggiornamento tariffario biennale 2024-2025 devono essere opportunamente illustrate nella relazione di accompagnamento di cui al comma 27.4 del MTR-2, secondo lo schema tipo di cui alla lettera b) del comma 1.1. 3.2 Ove, in conseguenza di avvicendamenti gestionali, non siano disponibili i dati di costo di cui all’articolo 7 del MTR-2, il gestore subentrante tenuto alla predisposizione del piano economico-finanziario deve: a) nei casi di avvicendamenti gestionali aventi decorrenza negli anni 2022 o 2023 utilizzare i dati parziali disponibili - ossia riferiti al periodo di effettiva operatività - opportunamente riparametrati sull’intera annualità; b) nei casi di avvicendamenti gestionali aventi decorrenza a partire dal 2024 e, qualora non si disponga di dati effettivi parziali, fare ricorso alle migliori stime dei costi del servizio per il medesimo anno, anche tenendo conto dei costi del servizio così come risultanti dai piani economico-finanziari predisposti dai precedenti gestori. 3.3 L’Ente territorialmente competente, anche alla luce degli esiti dell’attività di validazione al medesimo richiesta, può valorizzare, secondo le modalità operative declinate nel tool di calcolo di cui alla lettera a) del comma 1.1, il recupero del conguaglio riconducibile agli scostamenti tra i costi riconosciuti in sede di prima approvazione della predisposizione tariffaria 2022-2025, con riguardo all’annualità 2023 (annualità per la quale è stato assunto, in sede di prima approvazione, un tasso di inflazione nullo ai sensi del comma 7.5 del MTR-2) e quelli </w:t>
      </w:r>
      <w:proofErr w:type="spellStart"/>
      <w:r w:rsidRPr="004D724D">
        <w:rPr>
          <w:rFonts w:ascii="Perpetua" w:hAnsi="Perpetua" w:cs="Times New Roman"/>
          <w:i/>
          <w:iCs/>
          <w:szCs w:val="24"/>
        </w:rPr>
        <w:t>riquantificabili</w:t>
      </w:r>
      <w:proofErr w:type="spellEnd"/>
      <w:r w:rsidRPr="004D724D">
        <w:rPr>
          <w:rFonts w:ascii="Perpetua" w:hAnsi="Perpetua" w:cs="Times New Roman"/>
          <w:i/>
          <w:iCs/>
          <w:szCs w:val="24"/>
        </w:rPr>
        <w:t xml:space="preserve"> considerando il tasso di inflazione pari a </w:t>
      </w:r>
      <w:r w:rsidRPr="004D724D">
        <w:rPr>
          <w:rFonts w:ascii="Cambria Math" w:hAnsi="Cambria Math" w:cs="Cambria Math"/>
          <w:i/>
          <w:iCs/>
          <w:szCs w:val="24"/>
        </w:rPr>
        <w:t>𝐼</w:t>
      </w:r>
      <w:r w:rsidRPr="004D724D">
        <w:rPr>
          <w:rFonts w:ascii="Perpetua" w:hAnsi="Perpetua" w:cs="Times New Roman"/>
          <w:i/>
          <w:iCs/>
          <w:szCs w:val="24"/>
        </w:rPr>
        <w:t xml:space="preserve"> 2023 = 4,5%, </w:t>
      </w:r>
      <w:r w:rsidRPr="004D724D">
        <w:rPr>
          <w:rFonts w:ascii="Perpetua" w:hAnsi="Perpetua" w:cs="Times New Roman"/>
          <w:i/>
          <w:iCs/>
          <w:szCs w:val="24"/>
        </w:rPr>
        <w:lastRenderedPageBreak/>
        <w:t>individuato dalla deliberazione 389/2023/R/RIF. 3.4 Sono fatti salvi i chiarimenti e le precisazioni applicative della disciplina tariffaria del servizio integrato dei rifiuti di cui al MTR-2 contenuti nella determina 2/DRIF/2021, ai quali si rinvia.”</w:t>
      </w:r>
    </w:p>
    <w:p w:rsidR="0068183B" w:rsidRPr="004D724D" w:rsidRDefault="0068183B" w:rsidP="004D724D">
      <w:pPr>
        <w:pStyle w:val="Default"/>
        <w:spacing w:line="360" w:lineRule="auto"/>
        <w:jc w:val="both"/>
        <w:rPr>
          <w:rFonts w:ascii="Perpetua" w:hAnsi="Perpetua" w:cs="Times New Roman"/>
        </w:rPr>
      </w:pPr>
      <w:r w:rsidRPr="004D724D">
        <w:rPr>
          <w:rFonts w:ascii="Perpetua" w:hAnsi="Perpetua" w:cs="Times New Roman"/>
          <w:b/>
          <w:bCs/>
        </w:rPr>
        <w:t>Considerato</w:t>
      </w:r>
      <w:r w:rsidRPr="004D724D">
        <w:rPr>
          <w:rFonts w:ascii="Perpetua" w:hAnsi="Perpetua" w:cs="Times New Roman"/>
        </w:rPr>
        <w:t xml:space="preserve"> che, ai sensi del comma 11.1 del MTR-2, la determinazione della componente </w:t>
      </w:r>
      <w:r w:rsidRPr="004D724D">
        <w:rPr>
          <w:rFonts w:ascii="Cambria Math" w:hAnsi="Cambria Math" w:cs="Cambria Math"/>
        </w:rPr>
        <w:t>𝐶𝐶𝐷𝑎</w:t>
      </w:r>
      <w:r w:rsidRPr="004D724D">
        <w:rPr>
          <w:rFonts w:ascii="Perpetua" w:hAnsi="Perpetua" w:cs="Times New Roman"/>
        </w:rPr>
        <w:t xml:space="preserve"> viene e</w:t>
      </w:r>
      <w:r w:rsidRPr="004D724D">
        <w:rPr>
          <w:rFonts w:ascii="Perpetua" w:hAnsi="Perpetua" w:cs="Times New Roman"/>
        </w:rPr>
        <w:t>f</w:t>
      </w:r>
      <w:r w:rsidRPr="004D724D">
        <w:rPr>
          <w:rFonts w:ascii="Perpetua" w:hAnsi="Perpetua" w:cs="Times New Roman"/>
        </w:rPr>
        <w:t>fettuata in funzione della natura della tariffa applicata nell’ambito tariffario, indipendentemente dal regime t</w:t>
      </w:r>
      <w:r w:rsidRPr="004D724D">
        <w:rPr>
          <w:rFonts w:ascii="Perpetua" w:hAnsi="Perpetua" w:cs="Times New Roman"/>
        </w:rPr>
        <w:t>a</w:t>
      </w:r>
      <w:r w:rsidRPr="004D724D">
        <w:rPr>
          <w:rFonts w:ascii="Perpetua" w:hAnsi="Perpetua" w:cs="Times New Roman"/>
        </w:rPr>
        <w:t>riffario pregresso da cui i crediti inesigibili hanno avuto origine;</w:t>
      </w:r>
    </w:p>
    <w:p w:rsidR="0068183B" w:rsidRPr="004D724D" w:rsidRDefault="0068183B" w:rsidP="004D724D">
      <w:pPr>
        <w:pStyle w:val="Default"/>
        <w:spacing w:line="360" w:lineRule="auto"/>
        <w:jc w:val="both"/>
        <w:rPr>
          <w:rFonts w:ascii="Perpetua" w:hAnsi="Perpetua" w:cs="Times New Roman"/>
        </w:rPr>
      </w:pPr>
      <w:r w:rsidRPr="004D724D">
        <w:rPr>
          <w:rFonts w:ascii="Perpetua" w:hAnsi="Perpetua" w:cs="Times New Roman"/>
          <w:b/>
          <w:bCs/>
        </w:rPr>
        <w:t>Considerato</w:t>
      </w:r>
      <w:r w:rsidRPr="004D724D">
        <w:rPr>
          <w:rFonts w:ascii="Perpetua" w:hAnsi="Perpetua" w:cs="Times New Roman"/>
        </w:rPr>
        <w:t xml:space="preserve"> che la valorizzazione della quota degli oneri di funzionamento di ARERA da includere nella voce </w:t>
      </w:r>
      <w:r w:rsidRPr="004D724D">
        <w:rPr>
          <w:rFonts w:ascii="Cambria Math" w:hAnsi="Cambria Math" w:cs="Cambria Math"/>
        </w:rPr>
        <w:t>𝐶𝑂𝐴𝐿𝑎</w:t>
      </w:r>
      <w:r w:rsidRPr="004D724D">
        <w:rPr>
          <w:rFonts w:ascii="Perpetua" w:hAnsi="Perpetua" w:cs="Times New Roman"/>
        </w:rPr>
        <w:t xml:space="preserve"> di cui al comma 11.1 del MTR-2 avviene secondo i seguenti criteri: a) per l’anno 2022, il valore della suddetta quota è posto pari al contributo di funzionamento dell’Autorità per l’anno 2020; contestualmente vanno rettificati i valori iscritti a bilancio 2020 relativi alle quote già eventualmente riconosciute ai sensi del MTR in relazione al contributo di funzionamento dell’Autorità per gli anni 2018 e 2019; b) dall’anno 2023, la valorizzazione della quota avviene sulla base del dato risultante dalle fonti contabili obbligatorie relative all’anno (a-2);</w:t>
      </w:r>
    </w:p>
    <w:p w:rsidR="0068183B" w:rsidRPr="004D724D" w:rsidRDefault="0068183B" w:rsidP="004D724D">
      <w:pPr>
        <w:pStyle w:val="Default"/>
        <w:spacing w:line="360" w:lineRule="auto"/>
        <w:jc w:val="both"/>
        <w:rPr>
          <w:rFonts w:ascii="Perpetua" w:hAnsi="Perpetua" w:cs="Times New Roman"/>
        </w:rPr>
      </w:pPr>
      <w:r w:rsidRPr="004D724D">
        <w:rPr>
          <w:rFonts w:ascii="Perpetua" w:hAnsi="Perpetua" w:cs="Times New Roman"/>
          <w:b/>
          <w:bCs/>
        </w:rPr>
        <w:t>Ritenuto,</w:t>
      </w:r>
      <w:r w:rsidRPr="004D724D">
        <w:rPr>
          <w:rFonts w:ascii="Perpetua" w:hAnsi="Perpetua" w:cs="Times New Roman"/>
        </w:rPr>
        <w:t xml:space="preserve"> con specifico riferimento alla valorizzazione della componente </w:t>
      </w:r>
      <w:r w:rsidRPr="004D724D">
        <w:rPr>
          <w:rFonts w:ascii="Cambria Math" w:hAnsi="Cambria Math" w:cs="Cambria Math"/>
        </w:rPr>
        <w:t>𝐴𝑐𝑐𝑎</w:t>
      </w:r>
      <w:r w:rsidRPr="004D724D">
        <w:rPr>
          <w:rFonts w:ascii="Perpetua" w:hAnsi="Perpetua" w:cs="Times New Roman"/>
        </w:rPr>
        <w:t xml:space="preserve"> di cui al comma 16.2 del MTR-2, il valore del fondo crediti di dubbia esigibilità da utilizzare nell’anno a è quello effettivo risultante da</w:t>
      </w:r>
      <w:r w:rsidRPr="004D724D">
        <w:rPr>
          <w:rFonts w:ascii="Perpetua" w:hAnsi="Perpetua" w:cs="Times New Roman"/>
        </w:rPr>
        <w:t>l</w:t>
      </w:r>
      <w:r w:rsidRPr="004D724D">
        <w:rPr>
          <w:rFonts w:ascii="Perpetua" w:hAnsi="Perpetua" w:cs="Times New Roman"/>
        </w:rPr>
        <w:t>le fonti contabili obbligatorie relative all’anno a-2;</w:t>
      </w:r>
    </w:p>
    <w:p w:rsidR="0068183B" w:rsidRPr="004D724D" w:rsidRDefault="0068183B" w:rsidP="004D724D">
      <w:pPr>
        <w:pStyle w:val="Default"/>
        <w:spacing w:line="360" w:lineRule="auto"/>
        <w:jc w:val="both"/>
        <w:rPr>
          <w:rFonts w:ascii="Perpetua" w:hAnsi="Perpetua" w:cs="Times New Roman"/>
        </w:rPr>
      </w:pPr>
      <w:r w:rsidRPr="004D724D">
        <w:rPr>
          <w:rFonts w:ascii="Perpetua" w:hAnsi="Perpetua" w:cs="Times New Roman"/>
          <w:b/>
          <w:bCs/>
        </w:rPr>
        <w:t xml:space="preserve">Considerato </w:t>
      </w:r>
      <w:r w:rsidRPr="004D724D">
        <w:rPr>
          <w:rFonts w:ascii="Perpetua" w:hAnsi="Perpetua" w:cs="Times New Roman"/>
        </w:rPr>
        <w:t xml:space="preserve">che l'ETC, su proposta del gestore, valorizza i contratti di </w:t>
      </w:r>
      <w:r w:rsidRPr="004D724D">
        <w:rPr>
          <w:rFonts w:ascii="Perpetua" w:hAnsi="Perpetua" w:cs="Times New Roman"/>
          <w:i/>
          <w:iCs/>
        </w:rPr>
        <w:t xml:space="preserve">leasing </w:t>
      </w:r>
      <w:r w:rsidRPr="004D724D">
        <w:rPr>
          <w:rFonts w:ascii="Perpetua" w:hAnsi="Perpetua" w:cs="Times New Roman"/>
        </w:rPr>
        <w:t xml:space="preserve">operativo e </w:t>
      </w:r>
      <w:r w:rsidRPr="004D724D">
        <w:rPr>
          <w:rFonts w:ascii="Perpetua" w:hAnsi="Perpetua" w:cs="Times New Roman"/>
          <w:i/>
          <w:iCs/>
        </w:rPr>
        <w:t xml:space="preserve">leasing </w:t>
      </w:r>
      <w:r w:rsidRPr="004D724D">
        <w:rPr>
          <w:rFonts w:ascii="Perpetua" w:hAnsi="Perpetua" w:cs="Times New Roman"/>
        </w:rPr>
        <w:t>finanziario considerando le relative immobilizzazioni nelle componenti di costo dei costi d’uso del capitale di cui all’articolo 12 del MTR-2 e, contestualmente, includendo i canoni riconosciuti dal gestore al proprietario del bene oggetto del contratto di leasing nelle poste rettificative dei costi operativi di cui al comma 1.1 del MTR-2. In deroga a quanto disposto dal comma 1.10, in considerazione delle specificità del settore, l’Ente territoria</w:t>
      </w:r>
      <w:r w:rsidRPr="004D724D">
        <w:rPr>
          <w:rFonts w:ascii="Perpetua" w:hAnsi="Perpetua" w:cs="Times New Roman"/>
        </w:rPr>
        <w:t>l</w:t>
      </w:r>
      <w:r w:rsidRPr="004D724D">
        <w:rPr>
          <w:rFonts w:ascii="Perpetua" w:hAnsi="Perpetua" w:cs="Times New Roman"/>
        </w:rPr>
        <w:t xml:space="preserve">mente competente, su proposta del gestore, può valorizzare i contratti di </w:t>
      </w:r>
      <w:r w:rsidRPr="004D724D">
        <w:rPr>
          <w:rFonts w:ascii="Perpetua" w:hAnsi="Perpetua" w:cs="Times New Roman"/>
          <w:i/>
          <w:iCs/>
        </w:rPr>
        <w:t xml:space="preserve">leasing </w:t>
      </w:r>
      <w:r w:rsidRPr="004D724D">
        <w:rPr>
          <w:rFonts w:ascii="Perpetua" w:hAnsi="Perpetua" w:cs="Times New Roman"/>
        </w:rPr>
        <w:t xml:space="preserve">operativo e </w:t>
      </w:r>
      <w:r w:rsidRPr="004D724D">
        <w:rPr>
          <w:rFonts w:ascii="Perpetua" w:hAnsi="Perpetua" w:cs="Times New Roman"/>
          <w:i/>
          <w:iCs/>
        </w:rPr>
        <w:t xml:space="preserve">leasing </w:t>
      </w:r>
      <w:r w:rsidRPr="004D724D">
        <w:rPr>
          <w:rFonts w:ascii="Perpetua" w:hAnsi="Perpetua" w:cs="Times New Roman"/>
        </w:rPr>
        <w:t>finanziario considerando i relativi canoni di leasing nella determinazione dei costi operativi; laddove tali oneri siano di n</w:t>
      </w:r>
      <w:r w:rsidRPr="004D724D">
        <w:rPr>
          <w:rFonts w:ascii="Perpetua" w:hAnsi="Perpetua" w:cs="Times New Roman"/>
        </w:rPr>
        <w:t>a</w:t>
      </w:r>
      <w:r w:rsidRPr="004D724D">
        <w:rPr>
          <w:rFonts w:ascii="Perpetua" w:hAnsi="Perpetua" w:cs="Times New Roman"/>
        </w:rPr>
        <w:t>tura previsionale, i canoni di leasing possono essere considerati ai fini della determinazione dei costi operativi di gestione associati a specifiche finalità, determinati secondo i criteri di cui all’articolo 9 del MTR-2, e/o dei c</w:t>
      </w:r>
      <w:r w:rsidRPr="004D724D">
        <w:rPr>
          <w:rFonts w:ascii="Perpetua" w:hAnsi="Perpetua" w:cs="Times New Roman"/>
        </w:rPr>
        <w:t>o</w:t>
      </w:r>
      <w:r w:rsidRPr="004D724D">
        <w:rPr>
          <w:rFonts w:ascii="Perpetua" w:hAnsi="Perpetua" w:cs="Times New Roman"/>
        </w:rPr>
        <w:t>sti operativi incentivanti determinati secondo i criteri di cui all’articolo 10 del MTR-2, relativi al conseguime</w:t>
      </w:r>
      <w:r w:rsidRPr="004D724D">
        <w:rPr>
          <w:rFonts w:ascii="Perpetua" w:hAnsi="Perpetua" w:cs="Times New Roman"/>
        </w:rPr>
        <w:t>n</w:t>
      </w:r>
      <w:r w:rsidRPr="004D724D">
        <w:rPr>
          <w:rFonts w:ascii="Perpetua" w:hAnsi="Perpetua" w:cs="Times New Roman"/>
        </w:rPr>
        <w:t>to di target connessi a modifiche del perimetro gestionale e/o dei processi tecnici gestiti, anche mediante l’introduzione di soluzioni tecnologiche innovative e/o all’introduzione di standard e livelli qualitativi migli</w:t>
      </w:r>
      <w:r w:rsidRPr="004D724D">
        <w:rPr>
          <w:rFonts w:ascii="Perpetua" w:hAnsi="Perpetua" w:cs="Times New Roman"/>
        </w:rPr>
        <w:t>o</w:t>
      </w:r>
      <w:r w:rsidRPr="004D724D">
        <w:rPr>
          <w:rFonts w:ascii="Perpetua" w:hAnsi="Perpetua" w:cs="Times New Roman"/>
        </w:rPr>
        <w:t xml:space="preserve">rativi, o ulteriori, rispetto a quelli minimi fissati dalla regolazione. </w:t>
      </w:r>
    </w:p>
    <w:p w:rsidR="005F5BA6" w:rsidRPr="004D724D" w:rsidRDefault="0068183B" w:rsidP="004D724D">
      <w:pPr>
        <w:spacing w:line="360" w:lineRule="auto"/>
        <w:jc w:val="both"/>
        <w:rPr>
          <w:rFonts w:ascii="Perpetua" w:hAnsi="Perpetua" w:cs="Times New Roman"/>
        </w:rPr>
      </w:pPr>
      <w:r w:rsidRPr="004D724D">
        <w:rPr>
          <w:rFonts w:ascii="Perpetua" w:hAnsi="Perpetua" w:cs="Times New Roman"/>
          <w:b/>
          <w:bCs/>
        </w:rPr>
        <w:t>V</w:t>
      </w:r>
      <w:r w:rsidR="006B602D" w:rsidRPr="004D724D">
        <w:rPr>
          <w:rFonts w:ascii="Perpetua" w:hAnsi="Perpetua" w:cs="Times New Roman"/>
          <w:b/>
          <w:bCs/>
        </w:rPr>
        <w:t>isti</w:t>
      </w:r>
      <w:r w:rsidRPr="004D724D">
        <w:rPr>
          <w:rFonts w:ascii="Perpetua" w:hAnsi="Perpetua" w:cs="Times New Roman"/>
          <w:b/>
          <w:bCs/>
        </w:rPr>
        <w:t xml:space="preserve"> </w:t>
      </w:r>
      <w:r w:rsidRPr="004D724D">
        <w:rPr>
          <w:rFonts w:ascii="Perpetua" w:hAnsi="Perpetua" w:cs="Times New Roman"/>
        </w:rPr>
        <w:t xml:space="preserve">i seguenti allegati alla determinazione n. 1/DTAC/2023: “in attuazione della previsione contenuta nel comma 9.2 della deliberazione 389/2023 sono adottati i seguenti schemi tipo: </w:t>
      </w:r>
      <w:r w:rsidR="00DD10DD" w:rsidRPr="004D724D">
        <w:rPr>
          <w:rFonts w:ascii="Perpetua" w:hAnsi="Perpetua" w:cs="Times New Roman"/>
        </w:rPr>
        <w:t xml:space="preserve">a) il tool di calcolo comprensivo dello schema di piano economico-finanziario di aggiornamento tariffario biennale 2024-2025 di cui all’Allegato </w:t>
      </w:r>
      <w:r w:rsidR="00DD10DD" w:rsidRPr="004D724D">
        <w:rPr>
          <w:rFonts w:ascii="Perpetua" w:hAnsi="Perpetua" w:cs="Times New Roman"/>
        </w:rPr>
        <w:lastRenderedPageBreak/>
        <w:t>1; b) lo schema tipo di relazione di accompagnamento di cui all’Allegato 2; c) lo schema tipo di dichiarazione di veridicità per i gestori di diritto privato di cui all’Allegato 3, e per i gestori di diritto pubblico di cui all’Allegato 4.</w:t>
      </w:r>
    </w:p>
    <w:p w:rsidR="00DD10DD" w:rsidRPr="004D724D" w:rsidRDefault="00DD10DD" w:rsidP="004D724D">
      <w:pPr>
        <w:pStyle w:val="Default"/>
        <w:spacing w:line="360" w:lineRule="auto"/>
        <w:jc w:val="both"/>
        <w:rPr>
          <w:rFonts w:ascii="Perpetua" w:hAnsi="Perpetua" w:cs="Times New Roman"/>
        </w:rPr>
      </w:pPr>
      <w:r w:rsidRPr="004D724D">
        <w:rPr>
          <w:rFonts w:ascii="Perpetua" w:hAnsi="Perpetua" w:cs="Times New Roman"/>
          <w:b/>
          <w:bCs/>
        </w:rPr>
        <w:t>R</w:t>
      </w:r>
      <w:r w:rsidR="006B602D" w:rsidRPr="004D724D">
        <w:rPr>
          <w:rFonts w:ascii="Perpetua" w:hAnsi="Perpetua" w:cs="Times New Roman"/>
          <w:b/>
          <w:bCs/>
        </w:rPr>
        <w:t>ichiamati,</w:t>
      </w:r>
      <w:r w:rsidRPr="004D724D">
        <w:rPr>
          <w:rFonts w:ascii="Perpetua" w:hAnsi="Perpetua" w:cs="Times New Roman"/>
          <w:b/>
          <w:bCs/>
        </w:rPr>
        <w:t xml:space="preserve"> </w:t>
      </w:r>
    </w:p>
    <w:p w:rsidR="00DD10DD" w:rsidRPr="004D724D" w:rsidRDefault="00DD10DD" w:rsidP="004D724D">
      <w:pPr>
        <w:pStyle w:val="Default"/>
        <w:numPr>
          <w:ilvl w:val="0"/>
          <w:numId w:val="14"/>
        </w:numPr>
        <w:spacing w:line="360" w:lineRule="auto"/>
        <w:jc w:val="both"/>
        <w:rPr>
          <w:rFonts w:ascii="Perpetua" w:hAnsi="Perpetua" w:cs="Times New Roman"/>
        </w:rPr>
      </w:pPr>
      <w:r w:rsidRPr="004D724D">
        <w:rPr>
          <w:rFonts w:ascii="Perpetua" w:hAnsi="Perpetua" w:cs="Times New Roman"/>
        </w:rPr>
        <w:t xml:space="preserve">in particolare, i seguenti commi dell’articolo 1 della legge 147/13: </w:t>
      </w:r>
    </w:p>
    <w:p w:rsidR="00DD10DD" w:rsidRPr="004D724D" w:rsidRDefault="00DD10DD" w:rsidP="004D724D">
      <w:pPr>
        <w:pStyle w:val="Default"/>
        <w:spacing w:line="360" w:lineRule="auto"/>
        <w:ind w:left="360" w:firstLine="709"/>
        <w:jc w:val="both"/>
        <w:rPr>
          <w:rFonts w:ascii="Perpetua" w:hAnsi="Perpetua" w:cs="Times New Roman"/>
        </w:rPr>
      </w:pPr>
      <w:r w:rsidRPr="004D724D">
        <w:rPr>
          <w:rFonts w:ascii="Perpetua" w:hAnsi="Perpetua" w:cs="Times New Roman"/>
        </w:rPr>
        <w:t>. comma 652 che dispone che il comune, nella commisurazione della suddetta tariffa, tiene conto dei criteri determinati con il d.P.R. 158/99 o, in alternativa, e comunque nel rispetto del principio “chi inquina paga”, “</w:t>
      </w:r>
      <w:r w:rsidRPr="004D724D">
        <w:rPr>
          <w:rFonts w:ascii="Perpetua" w:hAnsi="Perpetua" w:cs="Times New Roman"/>
          <w:i/>
          <w:iCs/>
        </w:rPr>
        <w:t>può commisurare la tariffa alle quantità e qualità medie ordinarie di rifiuti prodotti per unità di s</w:t>
      </w:r>
      <w:r w:rsidRPr="004D724D">
        <w:rPr>
          <w:rFonts w:ascii="Perpetua" w:hAnsi="Perpetua" w:cs="Times New Roman"/>
          <w:i/>
          <w:iCs/>
        </w:rPr>
        <w:t>u</w:t>
      </w:r>
      <w:r w:rsidRPr="004D724D">
        <w:rPr>
          <w:rFonts w:ascii="Perpetua" w:hAnsi="Perpetua" w:cs="Times New Roman"/>
          <w:i/>
          <w:iCs/>
        </w:rPr>
        <w:t>perficie, in relazione agli usi e alla tipologia delle attività svolte nonché al costo del servizio sui rifiuti</w:t>
      </w:r>
      <w:r w:rsidRPr="004D724D">
        <w:rPr>
          <w:rFonts w:ascii="Perpetua" w:hAnsi="Perpetua" w:cs="Times New Roman"/>
        </w:rPr>
        <w:t xml:space="preserve">”. </w:t>
      </w:r>
    </w:p>
    <w:p w:rsidR="00DD10DD" w:rsidRPr="004D724D" w:rsidRDefault="00DD10DD" w:rsidP="004D724D">
      <w:pPr>
        <w:pStyle w:val="Default"/>
        <w:spacing w:line="360" w:lineRule="auto"/>
        <w:ind w:left="360" w:firstLine="709"/>
        <w:jc w:val="both"/>
        <w:rPr>
          <w:rFonts w:ascii="Perpetua" w:hAnsi="Perpetua" w:cs="Times New Roman"/>
        </w:rPr>
      </w:pPr>
      <w:r w:rsidRPr="004D724D">
        <w:rPr>
          <w:rFonts w:ascii="Perpetua" w:hAnsi="Perpetua" w:cs="Times New Roman"/>
        </w:rPr>
        <w:t>.  comma 654 che stabilisce che “</w:t>
      </w:r>
      <w:r w:rsidRPr="004D724D">
        <w:rPr>
          <w:rFonts w:ascii="Perpetua" w:hAnsi="Perpetua" w:cs="Times New Roman"/>
          <w:i/>
          <w:iCs/>
        </w:rPr>
        <w:t>in ogni caso deve essere assicurata la copertura integrale dei costi di inv</w:t>
      </w:r>
      <w:r w:rsidRPr="004D724D">
        <w:rPr>
          <w:rFonts w:ascii="Perpetua" w:hAnsi="Perpetua" w:cs="Times New Roman"/>
          <w:i/>
          <w:iCs/>
        </w:rPr>
        <w:t>e</w:t>
      </w:r>
      <w:r w:rsidRPr="004D724D">
        <w:rPr>
          <w:rFonts w:ascii="Perpetua" w:hAnsi="Perpetua" w:cs="Times New Roman"/>
          <w:i/>
          <w:iCs/>
        </w:rPr>
        <w:t>stimento e di esercizio relativi al servizio, 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r w:rsidRPr="004D724D">
        <w:rPr>
          <w:rFonts w:ascii="Perpetua" w:hAnsi="Perpetua" w:cs="Times New Roman"/>
        </w:rPr>
        <w:t xml:space="preserve">”; </w:t>
      </w:r>
    </w:p>
    <w:p w:rsidR="00DD10DD" w:rsidRPr="004D724D" w:rsidRDefault="00DD10DD" w:rsidP="004D724D">
      <w:pPr>
        <w:pStyle w:val="Default"/>
        <w:spacing w:line="360" w:lineRule="auto"/>
        <w:ind w:left="360" w:firstLine="709"/>
        <w:jc w:val="both"/>
        <w:rPr>
          <w:rFonts w:ascii="Perpetua" w:hAnsi="Perpetua" w:cs="Times New Roman"/>
        </w:rPr>
      </w:pPr>
      <w:r w:rsidRPr="004D724D">
        <w:rPr>
          <w:rFonts w:ascii="Perpetua" w:hAnsi="Perpetua" w:cs="Times New Roman"/>
        </w:rPr>
        <w:t>. comma 668 che riconosce, ai comuni che hanno realizzato sistemi di misurazione puntuale della quantità di rifiuti, la facoltà di prevedere “</w:t>
      </w:r>
      <w:r w:rsidRPr="004D724D">
        <w:rPr>
          <w:rFonts w:ascii="Perpetua" w:hAnsi="Perpetua" w:cs="Times New Roman"/>
          <w:i/>
          <w:iCs/>
        </w:rPr>
        <w:t>l’applicazione di una tariffa avente natura corrispettiva, in luogo della TARI”, la quale è “applicata e riscossa direttamente dal soggetto affidatario del servizio di gestione dei rifiuti urbani</w:t>
      </w:r>
      <w:r w:rsidRPr="004D724D">
        <w:rPr>
          <w:rFonts w:ascii="Perpetua" w:hAnsi="Perpetua" w:cs="Times New Roman"/>
        </w:rPr>
        <w:t xml:space="preserve">”; </w:t>
      </w:r>
    </w:p>
    <w:p w:rsidR="00DD10DD" w:rsidRPr="004D724D" w:rsidRDefault="00DD10DD" w:rsidP="004D724D">
      <w:pPr>
        <w:pStyle w:val="Default"/>
        <w:spacing w:line="360" w:lineRule="auto"/>
        <w:jc w:val="both"/>
        <w:rPr>
          <w:rFonts w:ascii="Perpetua" w:hAnsi="Perpetua" w:cs="Times New Roman"/>
        </w:rPr>
      </w:pPr>
      <w:r w:rsidRPr="004D724D">
        <w:rPr>
          <w:rFonts w:ascii="Perpetua" w:hAnsi="Perpetua" w:cs="Times New Roman"/>
          <w:b/>
          <w:bCs/>
        </w:rPr>
        <w:t>Visto</w:t>
      </w:r>
      <w:r w:rsidRPr="004D724D">
        <w:rPr>
          <w:rFonts w:ascii="Perpetua" w:hAnsi="Perpetua" w:cs="Times New Roman"/>
        </w:rPr>
        <w:t xml:space="preserve"> l’articolo 1, comma 169 della legge 296/06 che stabilisce che. “</w:t>
      </w:r>
      <w:r w:rsidRPr="004D724D">
        <w:rPr>
          <w:rFonts w:ascii="Perpetua" w:hAnsi="Perpetua" w:cs="Times New Roman"/>
          <w:i/>
          <w:iCs/>
        </w:rPr>
        <w:t>Gli enti locali deliberano le tariffe e le al</w:t>
      </w:r>
      <w:r w:rsidRPr="004D724D">
        <w:rPr>
          <w:rFonts w:ascii="Perpetua" w:hAnsi="Perpetua" w:cs="Times New Roman"/>
          <w:i/>
          <w:iCs/>
        </w:rPr>
        <w:t>i</w:t>
      </w:r>
      <w:r w:rsidRPr="004D724D">
        <w:rPr>
          <w:rFonts w:ascii="Perpetua" w:hAnsi="Perpetua" w:cs="Times New Roman"/>
          <w:i/>
          <w:iCs/>
        </w:rPr>
        <w:t>quote relative ai tributi di propria competenza entro la data fissata da norme statali per la deliberazione del bilancio di pr</w:t>
      </w:r>
      <w:r w:rsidRPr="004D724D">
        <w:rPr>
          <w:rFonts w:ascii="Perpetua" w:hAnsi="Perpetua" w:cs="Times New Roman"/>
          <w:i/>
          <w:iCs/>
        </w:rPr>
        <w:t>e</w:t>
      </w:r>
      <w:r w:rsidRPr="004D724D">
        <w:rPr>
          <w:rFonts w:ascii="Perpetua" w:hAnsi="Perpetua" w:cs="Times New Roman"/>
          <w:i/>
          <w:iCs/>
        </w:rPr>
        <w:t>visione. Dette deliberazioni, anche se approvate successivamente all’inizio dell’esercizio purché entro il termine innanzi ind</w:t>
      </w:r>
      <w:r w:rsidRPr="004D724D">
        <w:rPr>
          <w:rFonts w:ascii="Perpetua" w:hAnsi="Perpetua" w:cs="Times New Roman"/>
          <w:i/>
          <w:iCs/>
        </w:rPr>
        <w:t>i</w:t>
      </w:r>
      <w:r w:rsidRPr="004D724D">
        <w:rPr>
          <w:rFonts w:ascii="Perpetua" w:hAnsi="Perpetua" w:cs="Times New Roman"/>
          <w:i/>
          <w:iCs/>
        </w:rPr>
        <w:t>cato, hanno effetto dal 1 gennaio dell’anno di riferimento. In caso di mancata approvazione entro il suddetto termine, le t</w:t>
      </w:r>
      <w:r w:rsidRPr="004D724D">
        <w:rPr>
          <w:rFonts w:ascii="Perpetua" w:hAnsi="Perpetua" w:cs="Times New Roman"/>
          <w:i/>
          <w:iCs/>
        </w:rPr>
        <w:t>a</w:t>
      </w:r>
      <w:r w:rsidRPr="004D724D">
        <w:rPr>
          <w:rFonts w:ascii="Perpetua" w:hAnsi="Perpetua" w:cs="Times New Roman"/>
          <w:i/>
          <w:iCs/>
        </w:rPr>
        <w:t>riffe e le aliquote si intendono prorogate di anno in anno</w:t>
      </w:r>
      <w:r w:rsidRPr="004D724D">
        <w:rPr>
          <w:rFonts w:ascii="Perpetua" w:hAnsi="Perpetua" w:cs="Times New Roman"/>
        </w:rPr>
        <w:t xml:space="preserve">” </w:t>
      </w:r>
    </w:p>
    <w:p w:rsidR="00DD10DD" w:rsidRPr="004D724D" w:rsidRDefault="00DD10DD" w:rsidP="004D724D">
      <w:pPr>
        <w:pStyle w:val="Default"/>
        <w:spacing w:line="360" w:lineRule="auto"/>
        <w:jc w:val="both"/>
        <w:rPr>
          <w:rFonts w:ascii="Perpetua" w:hAnsi="Perpetua" w:cs="Times New Roman"/>
        </w:rPr>
      </w:pPr>
      <w:r w:rsidRPr="004D724D">
        <w:rPr>
          <w:rFonts w:ascii="Perpetua" w:hAnsi="Perpetua" w:cs="Times New Roman"/>
          <w:b/>
          <w:bCs/>
        </w:rPr>
        <w:t>Considerato</w:t>
      </w:r>
      <w:r w:rsidRPr="004D724D">
        <w:rPr>
          <w:rFonts w:ascii="Perpetua" w:hAnsi="Perpetua" w:cs="Times New Roman"/>
        </w:rPr>
        <w:t xml:space="preserve">  l’art. 1, comma 683, della legge 147/13 che dispone che: “</w:t>
      </w:r>
      <w:r w:rsidRPr="004D724D">
        <w:rPr>
          <w:rFonts w:ascii="Perpetua" w:hAnsi="Perpetua" w:cs="Times New Roman"/>
          <w:i/>
          <w:iCs/>
        </w:rPr>
        <w:t>il consiglio comunale deve approvare, entro il termine fissato da norme statali per l’approvazione del bilancio di previsione, le tariffe TARI in conformità al piano finanziario del servizio di gestione dei rifiuti urbani, redatto dal soggetto che svolge il servizio ed approvato dal consiglio comunale o da altra autorità competente a norma delle leggi vigenti in materia […]</w:t>
      </w:r>
      <w:r w:rsidRPr="004D724D">
        <w:rPr>
          <w:rFonts w:ascii="Perpetua" w:hAnsi="Perpetua" w:cs="Times New Roman"/>
        </w:rPr>
        <w:t xml:space="preserve">”; </w:t>
      </w:r>
    </w:p>
    <w:p w:rsidR="00DD10DD" w:rsidRPr="004D724D" w:rsidRDefault="006B602D" w:rsidP="004D724D">
      <w:pPr>
        <w:spacing w:line="360" w:lineRule="auto"/>
        <w:jc w:val="both"/>
        <w:rPr>
          <w:rFonts w:ascii="Perpetua" w:hAnsi="Perpetua" w:cs="Times New Roman"/>
          <w:b/>
          <w:bCs/>
        </w:rPr>
      </w:pPr>
      <w:r w:rsidRPr="004D724D">
        <w:rPr>
          <w:rFonts w:ascii="Perpetua" w:hAnsi="Perpetua" w:cs="Times New Roman"/>
          <w:b/>
          <w:bCs/>
        </w:rPr>
        <w:t>Vista</w:t>
      </w:r>
      <w:r w:rsidR="00DD10DD" w:rsidRPr="004D724D">
        <w:rPr>
          <w:rFonts w:ascii="Perpetua" w:hAnsi="Perpetua" w:cs="Times New Roman"/>
          <w:b/>
          <w:bCs/>
        </w:rPr>
        <w:t xml:space="preserve"> </w:t>
      </w:r>
      <w:r w:rsidR="00DD10DD" w:rsidRPr="004D724D">
        <w:rPr>
          <w:rFonts w:ascii="Perpetua" w:hAnsi="Perpetua" w:cs="Times New Roman"/>
        </w:rPr>
        <w:t>la legge 25 febbraio 2022, n. 15 recante “</w:t>
      </w:r>
      <w:r w:rsidR="00DD10DD" w:rsidRPr="004D724D">
        <w:rPr>
          <w:rFonts w:ascii="Perpetua" w:hAnsi="Perpetua" w:cs="Times New Roman"/>
          <w:i/>
          <w:iCs/>
        </w:rPr>
        <w:t>Conversione in legge, con modificazioni, del decreto-legge 30 dicembre 2021, n. 228, recante disposizioni urgenti in materia di termini legislativi</w:t>
      </w:r>
      <w:r w:rsidR="00DD10DD" w:rsidRPr="004D724D">
        <w:rPr>
          <w:rFonts w:ascii="Perpetua" w:hAnsi="Perpetua" w:cs="Times New Roman"/>
        </w:rPr>
        <w:t>” che all’art. 3 del suddetto DL ha introdotto: il comma 5-quinquies che prevede che: «</w:t>
      </w:r>
      <w:r w:rsidR="00DD10DD" w:rsidRPr="004D724D">
        <w:rPr>
          <w:rFonts w:ascii="Perpetua" w:hAnsi="Perpetua" w:cs="Times New Roman"/>
          <w:i/>
          <w:iCs/>
        </w:rPr>
        <w:t>A decorrere dall’anno 2022, i comuni, in deroga all’articolo 1, comma 683, della legge 27 dicembre 2013, n. 147, possono approvare i piani finanziari del servizio di gestione dei rifiuti urbani, le tariffe e i regolamenti della TARI e della tariffa corrispettiva entro il termine del 30 aprile di ciascun anno.</w:t>
      </w:r>
      <w:r w:rsidR="00DD10DD" w:rsidRPr="004D724D">
        <w:rPr>
          <w:rFonts w:ascii="Perpetua" w:hAnsi="Perpetua" w:cs="Times New Roman"/>
        </w:rPr>
        <w:t>» ed il comma 5-sexiesdecies che prevede che: «</w:t>
      </w:r>
      <w:r w:rsidR="00DD10DD" w:rsidRPr="004D724D">
        <w:rPr>
          <w:rFonts w:ascii="Perpetua" w:hAnsi="Perpetua" w:cs="Times New Roman"/>
          <w:i/>
          <w:iCs/>
        </w:rPr>
        <w:t xml:space="preserve">Il termine per la deliberazione del bilancio di previsione riferito al triennio 2022-2024 da parte degli enti locali, previsto all’articolo 151, comma 1, del testo unico delle leggi sull’ordinamento degli enti </w:t>
      </w:r>
      <w:r w:rsidR="00DD10DD" w:rsidRPr="004D724D">
        <w:rPr>
          <w:rFonts w:ascii="Perpetua" w:hAnsi="Perpetua" w:cs="Times New Roman"/>
          <w:i/>
          <w:iCs/>
        </w:rPr>
        <w:lastRenderedPageBreak/>
        <w:t>locali, di cui al decreto legislativo 18 agosto 2000, n. 267, da ultimo differito ai sensi del decreto del Ministro dell’in-terno 24 dicembre 2021, pubblicato nella Gazzetta Ufficiale n. 309 del 30 dicembre 2021, è differito al 31 maggio 2022</w:t>
      </w:r>
      <w:r w:rsidR="00DD10DD" w:rsidRPr="004D724D">
        <w:rPr>
          <w:rFonts w:ascii="Perpetua" w:hAnsi="Perpetua" w:cs="Times New Roman"/>
        </w:rPr>
        <w:t>.»</w:t>
      </w:r>
    </w:p>
    <w:p w:rsidR="00DD10DD" w:rsidRPr="004D724D" w:rsidRDefault="006B602D" w:rsidP="004D724D">
      <w:pPr>
        <w:pStyle w:val="Default"/>
        <w:spacing w:line="360" w:lineRule="auto"/>
        <w:jc w:val="both"/>
        <w:rPr>
          <w:rFonts w:ascii="Perpetua" w:hAnsi="Perpetua" w:cs="Times New Roman"/>
          <w:color w:val="auto"/>
          <w:kern w:val="2"/>
          <w:lang w:bidi="hi-IN"/>
        </w:rPr>
      </w:pPr>
      <w:r w:rsidRPr="004D724D">
        <w:rPr>
          <w:rFonts w:ascii="Perpetua" w:hAnsi="Perpetua" w:cs="Times New Roman"/>
          <w:b/>
          <w:bCs/>
        </w:rPr>
        <w:t>Considerato</w:t>
      </w:r>
      <w:r w:rsidR="00DD10DD" w:rsidRPr="004D724D">
        <w:rPr>
          <w:rFonts w:ascii="Perpetua" w:hAnsi="Perpetua" w:cs="Times New Roman"/>
          <w:b/>
          <w:bCs/>
        </w:rPr>
        <w:t xml:space="preserve"> che </w:t>
      </w:r>
      <w:r w:rsidR="00DD10DD" w:rsidRPr="004D724D">
        <w:rPr>
          <w:rFonts w:ascii="Perpetua" w:hAnsi="Perpetua" w:cs="Times New Roman"/>
          <w:color w:val="auto"/>
          <w:kern w:val="2"/>
          <w:lang w:bidi="hi-IN"/>
        </w:rPr>
        <w:t>questo ETC deve procedere, in applicazione del Metodo Tariffario Rifiuti per il secondo p</w:t>
      </w:r>
      <w:r w:rsidR="00DD10DD" w:rsidRPr="004D724D">
        <w:rPr>
          <w:rFonts w:ascii="Perpetua" w:hAnsi="Perpetua" w:cs="Times New Roman"/>
          <w:color w:val="auto"/>
          <w:kern w:val="2"/>
          <w:lang w:bidi="hi-IN"/>
        </w:rPr>
        <w:t>e</w:t>
      </w:r>
      <w:r w:rsidR="00DD10DD" w:rsidRPr="004D724D">
        <w:rPr>
          <w:rFonts w:ascii="Perpetua" w:hAnsi="Perpetua" w:cs="Times New Roman"/>
          <w:color w:val="auto"/>
          <w:kern w:val="2"/>
          <w:lang w:bidi="hi-IN"/>
        </w:rPr>
        <w:t>riodo regolatorio (MTR-2) di ARERA, alla validazione dell’aggiornamento del PEF 2024-2025 dell’ambito t</w:t>
      </w:r>
      <w:r w:rsidR="00DD10DD" w:rsidRPr="004D724D">
        <w:rPr>
          <w:rFonts w:ascii="Perpetua" w:hAnsi="Perpetua" w:cs="Times New Roman"/>
          <w:color w:val="auto"/>
          <w:kern w:val="2"/>
          <w:lang w:bidi="hi-IN"/>
        </w:rPr>
        <w:t>a</w:t>
      </w:r>
      <w:r w:rsidR="00DD10DD" w:rsidRPr="004D724D">
        <w:rPr>
          <w:rFonts w:ascii="Perpetua" w:hAnsi="Perpetua" w:cs="Times New Roman"/>
          <w:color w:val="auto"/>
          <w:kern w:val="2"/>
          <w:lang w:bidi="hi-IN"/>
        </w:rPr>
        <w:t xml:space="preserve">riffario coincidente con il Comune di </w:t>
      </w:r>
      <w:r w:rsidR="00701D04">
        <w:rPr>
          <w:rFonts w:ascii="Perpetua" w:hAnsi="Perpetua" w:cs="Times New Roman"/>
          <w:color w:val="auto"/>
          <w:kern w:val="2"/>
          <w:lang w:bidi="hi-IN"/>
        </w:rPr>
        <w:t>Terrasini</w:t>
      </w:r>
      <w:r w:rsidR="00DD10DD" w:rsidRPr="004D724D">
        <w:rPr>
          <w:rFonts w:ascii="Perpetua" w:hAnsi="Perpetua" w:cs="Times New Roman"/>
          <w:color w:val="auto"/>
          <w:kern w:val="2"/>
          <w:lang w:bidi="hi-IN"/>
        </w:rPr>
        <w:t xml:space="preserve"> per consentire al consiglio comunale di assumere la deliberazi</w:t>
      </w:r>
      <w:r w:rsidR="00DD10DD" w:rsidRPr="004D724D">
        <w:rPr>
          <w:rFonts w:ascii="Perpetua" w:hAnsi="Perpetua" w:cs="Times New Roman"/>
          <w:color w:val="auto"/>
          <w:kern w:val="2"/>
          <w:lang w:bidi="hi-IN"/>
        </w:rPr>
        <w:t>o</w:t>
      </w:r>
      <w:r w:rsidR="00DD10DD" w:rsidRPr="004D724D">
        <w:rPr>
          <w:rFonts w:ascii="Perpetua" w:hAnsi="Perpetua" w:cs="Times New Roman"/>
          <w:color w:val="auto"/>
          <w:kern w:val="2"/>
          <w:lang w:bidi="hi-IN"/>
        </w:rPr>
        <w:t>ne conseguente entro i termini di legge sopra evidenziati;</w:t>
      </w:r>
    </w:p>
    <w:p w:rsidR="00DD10DD" w:rsidRPr="004D724D" w:rsidRDefault="00DD10DD" w:rsidP="004D724D">
      <w:pPr>
        <w:pStyle w:val="Default"/>
        <w:spacing w:line="360" w:lineRule="auto"/>
        <w:jc w:val="both"/>
        <w:rPr>
          <w:rFonts w:ascii="Perpetua" w:hAnsi="Perpetua" w:cs="Times New Roman"/>
        </w:rPr>
      </w:pPr>
      <w:r w:rsidRPr="004D724D">
        <w:rPr>
          <w:rFonts w:ascii="Perpetua" w:hAnsi="Perpetua" w:cs="Times New Roman"/>
        </w:rPr>
        <w:t>Considerato che sul suddetto Comune i soggetti che operano ai fini dell’erogazione del servizio integrato di g</w:t>
      </w:r>
      <w:r w:rsidRPr="004D724D">
        <w:rPr>
          <w:rFonts w:ascii="Perpetua" w:hAnsi="Perpetua" w:cs="Times New Roman"/>
        </w:rPr>
        <w:t>e</w:t>
      </w:r>
      <w:r w:rsidRPr="004D724D">
        <w:rPr>
          <w:rFonts w:ascii="Perpetua" w:hAnsi="Perpetua" w:cs="Times New Roman"/>
        </w:rPr>
        <w:t>stione dei rifiuti secondo il perimetro gestionale di cui all’art. 1, comma 2, della deliberazione ARERA del 3 agosto 2021 n.</w:t>
      </w:r>
      <w:r w:rsidR="00984CA1" w:rsidRPr="004D724D">
        <w:rPr>
          <w:rFonts w:ascii="Perpetua" w:hAnsi="Perpetua" w:cs="Times New Roman"/>
        </w:rPr>
        <w:t xml:space="preserve"> </w:t>
      </w:r>
      <w:r w:rsidRPr="004D724D">
        <w:rPr>
          <w:rFonts w:ascii="Perpetua" w:hAnsi="Perpetua" w:cs="Times New Roman"/>
        </w:rPr>
        <w:t xml:space="preserve">363/2021/R/RIF, sono i seguenti: </w:t>
      </w:r>
    </w:p>
    <w:p w:rsidR="003C2C41" w:rsidRPr="003C2C41" w:rsidRDefault="003C2C41" w:rsidP="006B602D">
      <w:pPr>
        <w:pStyle w:val="Default"/>
        <w:jc w:val="both"/>
        <w:rPr>
          <w:rFonts w:ascii="Times New Roman" w:hAnsi="Times New Roman" w:cs="Times New Roman"/>
        </w:rPr>
      </w:pPr>
    </w:p>
    <w:tbl>
      <w:tblPr>
        <w:tblW w:w="0" w:type="auto"/>
        <w:tblInd w:w="1809" w:type="dxa"/>
        <w:tblBorders>
          <w:top w:val="single" w:sz="4" w:space="0" w:color="B4C6E7"/>
          <w:left w:val="single" w:sz="4" w:space="0" w:color="B4C6E7"/>
          <w:bottom w:val="single" w:sz="4" w:space="0" w:color="B4C6E7"/>
          <w:right w:val="single" w:sz="4" w:space="0" w:color="B4C6E7"/>
          <w:insideH w:val="single" w:sz="12" w:space="0" w:color="8EAADB"/>
          <w:insideV w:val="single" w:sz="4" w:space="0" w:color="B4C6E7"/>
        </w:tblBorders>
        <w:tblLook w:val="04A0"/>
      </w:tblPr>
      <w:tblGrid>
        <w:gridCol w:w="2785"/>
        <w:gridCol w:w="2885"/>
      </w:tblGrid>
      <w:tr w:rsidR="00984CA1" w:rsidRPr="00721E3D" w:rsidTr="0028485B">
        <w:tc>
          <w:tcPr>
            <w:tcW w:w="2785" w:type="dxa"/>
            <w:shd w:val="clear" w:color="auto" w:fill="BDD6EE"/>
          </w:tcPr>
          <w:p w:rsidR="00984CA1" w:rsidRPr="00721E3D" w:rsidRDefault="00984CA1" w:rsidP="003C2C41">
            <w:pPr>
              <w:spacing w:line="360" w:lineRule="auto"/>
              <w:jc w:val="center"/>
              <w:rPr>
                <w:rFonts w:ascii="Perpetua" w:hAnsi="Perpetua" w:cs="Times New Roman"/>
                <w:b/>
                <w:bCs/>
                <w:i/>
                <w:iCs/>
                <w:sz w:val="16"/>
                <w:szCs w:val="16"/>
              </w:rPr>
            </w:pPr>
            <w:r w:rsidRPr="00721E3D">
              <w:rPr>
                <w:rFonts w:ascii="Perpetua" w:hAnsi="Perpetua" w:cs="Times New Roman"/>
                <w:b/>
                <w:bCs/>
                <w:i/>
                <w:iCs/>
                <w:sz w:val="16"/>
                <w:szCs w:val="16"/>
              </w:rPr>
              <w:t>GESTORE</w:t>
            </w:r>
          </w:p>
          <w:p w:rsidR="00984CA1" w:rsidRPr="00721E3D" w:rsidRDefault="00984CA1" w:rsidP="003C2C41">
            <w:pPr>
              <w:spacing w:line="360" w:lineRule="auto"/>
              <w:jc w:val="center"/>
              <w:rPr>
                <w:rFonts w:ascii="Perpetua" w:hAnsi="Perpetua" w:cs="Times New Roman"/>
                <w:b/>
                <w:bCs/>
                <w:i/>
                <w:iCs/>
                <w:sz w:val="16"/>
                <w:szCs w:val="16"/>
              </w:rPr>
            </w:pPr>
            <w:r w:rsidRPr="00721E3D">
              <w:rPr>
                <w:rFonts w:ascii="Perpetua" w:hAnsi="Perpetua" w:cs="Times New Roman"/>
                <w:b/>
                <w:bCs/>
                <w:i/>
                <w:iCs/>
                <w:sz w:val="16"/>
                <w:szCs w:val="16"/>
              </w:rPr>
              <w:t>Servizio di igiene ambientale</w:t>
            </w:r>
          </w:p>
        </w:tc>
        <w:tc>
          <w:tcPr>
            <w:tcW w:w="2885" w:type="dxa"/>
            <w:shd w:val="clear" w:color="auto" w:fill="BDD6EE"/>
          </w:tcPr>
          <w:p w:rsidR="00984CA1" w:rsidRPr="00721E3D" w:rsidRDefault="00984CA1" w:rsidP="003C2C41">
            <w:pPr>
              <w:spacing w:line="360" w:lineRule="auto"/>
              <w:jc w:val="center"/>
              <w:rPr>
                <w:rFonts w:ascii="Perpetua" w:hAnsi="Perpetua" w:cs="Times New Roman"/>
                <w:b/>
                <w:bCs/>
                <w:i/>
                <w:iCs/>
                <w:sz w:val="16"/>
                <w:szCs w:val="16"/>
              </w:rPr>
            </w:pPr>
            <w:r w:rsidRPr="00721E3D">
              <w:rPr>
                <w:rFonts w:ascii="Perpetua" w:hAnsi="Perpetua" w:cs="Times New Roman"/>
                <w:b/>
                <w:bCs/>
                <w:i/>
                <w:iCs/>
                <w:sz w:val="16"/>
                <w:szCs w:val="16"/>
              </w:rPr>
              <w:t>GESTORE</w:t>
            </w:r>
          </w:p>
          <w:p w:rsidR="00984CA1" w:rsidRPr="00721E3D" w:rsidRDefault="00984CA1" w:rsidP="003C2C41">
            <w:pPr>
              <w:spacing w:line="360" w:lineRule="auto"/>
              <w:jc w:val="center"/>
              <w:rPr>
                <w:rFonts w:ascii="Perpetua" w:hAnsi="Perpetua" w:cs="Times New Roman"/>
                <w:b/>
                <w:bCs/>
                <w:i/>
                <w:iCs/>
                <w:sz w:val="16"/>
                <w:szCs w:val="16"/>
              </w:rPr>
            </w:pPr>
            <w:r w:rsidRPr="00721E3D">
              <w:rPr>
                <w:rFonts w:ascii="Perpetua" w:hAnsi="Perpetua" w:cs="Times New Roman"/>
                <w:b/>
                <w:bCs/>
                <w:i/>
                <w:iCs/>
                <w:sz w:val="16"/>
                <w:szCs w:val="16"/>
              </w:rPr>
              <w:t>Servizio attività di gestione delle tariffe</w:t>
            </w:r>
          </w:p>
        </w:tc>
      </w:tr>
      <w:tr w:rsidR="00984CA1" w:rsidRPr="00721E3D" w:rsidTr="0028485B">
        <w:tc>
          <w:tcPr>
            <w:tcW w:w="2785" w:type="dxa"/>
            <w:shd w:val="clear" w:color="auto" w:fill="auto"/>
          </w:tcPr>
          <w:p w:rsidR="00984CA1" w:rsidRPr="00721E3D" w:rsidRDefault="00701D04" w:rsidP="003C2C41">
            <w:pPr>
              <w:spacing w:line="360" w:lineRule="auto"/>
              <w:jc w:val="center"/>
              <w:rPr>
                <w:rFonts w:ascii="Perpetua" w:hAnsi="Perpetua" w:cs="Times New Roman"/>
                <w:sz w:val="16"/>
                <w:szCs w:val="16"/>
              </w:rPr>
            </w:pPr>
            <w:r>
              <w:rPr>
                <w:rFonts w:ascii="Perpetua" w:hAnsi="Perpetua" w:cs="Times New Roman"/>
                <w:sz w:val="16"/>
                <w:szCs w:val="16"/>
              </w:rPr>
              <w:t>ECONORD</w:t>
            </w:r>
            <w:r w:rsidR="00984CA1" w:rsidRPr="00721E3D">
              <w:rPr>
                <w:rFonts w:ascii="Perpetua" w:hAnsi="Perpetua" w:cs="Times New Roman"/>
                <w:sz w:val="16"/>
                <w:szCs w:val="16"/>
              </w:rPr>
              <w:t xml:space="preserve"> S.</w:t>
            </w:r>
            <w:r>
              <w:rPr>
                <w:rFonts w:ascii="Perpetua" w:hAnsi="Perpetua" w:cs="Times New Roman"/>
                <w:sz w:val="16"/>
                <w:szCs w:val="16"/>
              </w:rPr>
              <w:t>p</w:t>
            </w:r>
            <w:r w:rsidR="00984CA1" w:rsidRPr="00721E3D">
              <w:rPr>
                <w:rFonts w:ascii="Perpetua" w:hAnsi="Perpetua" w:cs="Times New Roman"/>
                <w:sz w:val="16"/>
                <w:szCs w:val="16"/>
              </w:rPr>
              <w:t>.</w:t>
            </w:r>
            <w:r>
              <w:rPr>
                <w:rFonts w:ascii="Perpetua" w:hAnsi="Perpetua" w:cs="Times New Roman"/>
                <w:sz w:val="16"/>
                <w:szCs w:val="16"/>
              </w:rPr>
              <w:t>A</w:t>
            </w:r>
            <w:r w:rsidR="00186926" w:rsidRPr="00721E3D">
              <w:rPr>
                <w:rFonts w:ascii="Perpetua" w:hAnsi="Perpetua" w:cs="Times New Roman"/>
                <w:sz w:val="16"/>
                <w:szCs w:val="16"/>
              </w:rPr>
              <w:t>.</w:t>
            </w:r>
          </w:p>
        </w:tc>
        <w:tc>
          <w:tcPr>
            <w:tcW w:w="2885" w:type="dxa"/>
            <w:shd w:val="clear" w:color="auto" w:fill="auto"/>
          </w:tcPr>
          <w:p w:rsidR="00984CA1" w:rsidRPr="00721E3D" w:rsidRDefault="00984CA1" w:rsidP="003C2C41">
            <w:pPr>
              <w:spacing w:line="360" w:lineRule="auto"/>
              <w:jc w:val="center"/>
              <w:rPr>
                <w:rFonts w:ascii="Perpetua" w:hAnsi="Perpetua" w:cs="Times New Roman"/>
                <w:sz w:val="16"/>
                <w:szCs w:val="16"/>
              </w:rPr>
            </w:pPr>
            <w:r w:rsidRPr="00721E3D">
              <w:rPr>
                <w:rFonts w:ascii="Perpetua" w:hAnsi="Perpetua" w:cs="Times New Roman"/>
                <w:sz w:val="16"/>
                <w:szCs w:val="16"/>
              </w:rPr>
              <w:t xml:space="preserve">Comune di </w:t>
            </w:r>
            <w:r w:rsidR="00701D04">
              <w:rPr>
                <w:rFonts w:ascii="Perpetua" w:hAnsi="Perpetua" w:cs="Times New Roman"/>
                <w:sz w:val="16"/>
                <w:szCs w:val="16"/>
              </w:rPr>
              <w:t>Terrasini</w:t>
            </w:r>
          </w:p>
        </w:tc>
      </w:tr>
    </w:tbl>
    <w:p w:rsidR="005F5BA6" w:rsidRPr="004D724D" w:rsidRDefault="005F5BA6" w:rsidP="006B602D">
      <w:pPr>
        <w:spacing w:before="57" w:after="57" w:line="276" w:lineRule="auto"/>
        <w:jc w:val="both"/>
        <w:rPr>
          <w:rFonts w:ascii="Perpetua" w:hAnsi="Perpetua" w:cs="Times New Roman"/>
          <w:b/>
          <w:bCs/>
        </w:rPr>
      </w:pPr>
    </w:p>
    <w:p w:rsidR="00984CA1" w:rsidRPr="00197DBB" w:rsidRDefault="00984CA1" w:rsidP="004D724D">
      <w:pPr>
        <w:pStyle w:val="Default"/>
        <w:spacing w:line="360" w:lineRule="auto"/>
        <w:jc w:val="both"/>
        <w:rPr>
          <w:rFonts w:ascii="Perpetua" w:hAnsi="Perpetua" w:cs="Times New Roman"/>
        </w:rPr>
      </w:pPr>
      <w:r w:rsidRPr="00197DBB">
        <w:rPr>
          <w:rFonts w:ascii="Perpetua" w:hAnsi="Perpetua" w:cs="Times New Roman"/>
          <w:b/>
          <w:bCs/>
        </w:rPr>
        <w:t>V</w:t>
      </w:r>
      <w:r w:rsidR="001C6BCC" w:rsidRPr="00197DBB">
        <w:rPr>
          <w:rFonts w:ascii="Perpetua" w:hAnsi="Perpetua" w:cs="Times New Roman"/>
          <w:b/>
          <w:bCs/>
        </w:rPr>
        <w:t>ista</w:t>
      </w:r>
      <w:r w:rsidRPr="00197DBB">
        <w:rPr>
          <w:rFonts w:ascii="Perpetua" w:hAnsi="Perpetua" w:cs="Times New Roman"/>
          <w:b/>
          <w:bCs/>
        </w:rPr>
        <w:t xml:space="preserve"> </w:t>
      </w:r>
      <w:r w:rsidRPr="00197DBB">
        <w:rPr>
          <w:rFonts w:ascii="Perpetua" w:hAnsi="Perpetua" w:cs="Times New Roman"/>
        </w:rPr>
        <w:t xml:space="preserve">la documentazione trasmessa a questo ETC dal </w:t>
      </w:r>
      <w:r w:rsidR="00F27CEE" w:rsidRPr="00197DBB">
        <w:rPr>
          <w:rFonts w:ascii="Perpetua" w:hAnsi="Perpetua" w:cs="Times New Roman"/>
        </w:rPr>
        <w:t xml:space="preserve">Comune di </w:t>
      </w:r>
      <w:r w:rsidR="00701D04" w:rsidRPr="00197DBB">
        <w:rPr>
          <w:rFonts w:ascii="Perpetua" w:hAnsi="Perpetua" w:cs="Times New Roman"/>
        </w:rPr>
        <w:t>Terrasini</w:t>
      </w:r>
      <w:r w:rsidRPr="00197DBB">
        <w:rPr>
          <w:rFonts w:ascii="Perpetua" w:hAnsi="Perpetua" w:cs="Times New Roman"/>
        </w:rPr>
        <w:t xml:space="preserve">, </w:t>
      </w:r>
      <w:r w:rsidR="00FB26B7" w:rsidRPr="00197DBB">
        <w:rPr>
          <w:rFonts w:ascii="Perpetua" w:hAnsi="Perpetua"/>
        </w:rPr>
        <w:t>1731 del 28 febbraio 2024 e int</w:t>
      </w:r>
      <w:r w:rsidR="00FB26B7" w:rsidRPr="00197DBB">
        <w:rPr>
          <w:rFonts w:ascii="Perpetua" w:hAnsi="Perpetua"/>
        </w:rPr>
        <w:t>e</w:t>
      </w:r>
      <w:r w:rsidR="00FB26B7" w:rsidRPr="00197DBB">
        <w:rPr>
          <w:rFonts w:ascii="Perpetua" w:hAnsi="Perpetua"/>
        </w:rPr>
        <w:t>grazione con nota prot. n. 1835 del 01.03.2024</w:t>
      </w:r>
      <w:r w:rsidR="00F27CEE" w:rsidRPr="00197DBB">
        <w:rPr>
          <w:rFonts w:ascii="Perpetua" w:hAnsi="Perpetua" w:cs="Times New Roman"/>
        </w:rPr>
        <w:t>:</w:t>
      </w:r>
    </w:p>
    <w:p w:rsidR="00984CA1" w:rsidRPr="00197DBB" w:rsidRDefault="00984CA1" w:rsidP="004D724D">
      <w:pPr>
        <w:pStyle w:val="Default"/>
        <w:numPr>
          <w:ilvl w:val="0"/>
          <w:numId w:val="21"/>
        </w:numPr>
        <w:spacing w:line="360" w:lineRule="auto"/>
        <w:ind w:left="426"/>
        <w:jc w:val="both"/>
        <w:rPr>
          <w:rFonts w:ascii="Perpetua" w:hAnsi="Perpetua" w:cs="Times New Roman"/>
        </w:rPr>
      </w:pPr>
      <w:r w:rsidRPr="00197DBB">
        <w:rPr>
          <w:rFonts w:ascii="Perpetua" w:hAnsi="Perpetua" w:cs="Times New Roman"/>
        </w:rPr>
        <w:t xml:space="preserve">il piano economico finanziario per il periodo 2024-2025 </w:t>
      </w:r>
      <w:r w:rsidR="00F27CEE" w:rsidRPr="00197DBB">
        <w:rPr>
          <w:rFonts w:ascii="Perpetua" w:hAnsi="Perpetua" w:cs="Times New Roman"/>
        </w:rPr>
        <w:t xml:space="preserve">c.d. grezzo “Comune” e “Gestore” </w:t>
      </w:r>
      <w:r w:rsidRPr="00197DBB">
        <w:rPr>
          <w:rFonts w:ascii="Perpetua" w:hAnsi="Perpetua" w:cs="Times New Roman"/>
        </w:rPr>
        <w:t>secondo qua</w:t>
      </w:r>
      <w:r w:rsidRPr="00197DBB">
        <w:rPr>
          <w:rFonts w:ascii="Perpetua" w:hAnsi="Perpetua" w:cs="Times New Roman"/>
        </w:rPr>
        <w:t>n</w:t>
      </w:r>
      <w:r w:rsidRPr="00197DBB">
        <w:rPr>
          <w:rFonts w:ascii="Perpetua" w:hAnsi="Perpetua" w:cs="Times New Roman"/>
        </w:rPr>
        <w:t>to previsto dal MTR-2</w:t>
      </w:r>
      <w:r w:rsidR="00147664" w:rsidRPr="00197DBB">
        <w:rPr>
          <w:rFonts w:ascii="Perpetua" w:hAnsi="Perpetua" w:cs="Times New Roman"/>
        </w:rPr>
        <w:t xml:space="preserve"> e dalla determinazione ARERA n. 1/2023</w:t>
      </w:r>
      <w:r w:rsidRPr="00197DBB">
        <w:rPr>
          <w:rFonts w:ascii="Perpetua" w:hAnsi="Perpetua" w:cs="Times New Roman"/>
        </w:rPr>
        <w:t xml:space="preserve">; </w:t>
      </w:r>
    </w:p>
    <w:p w:rsidR="00984CA1" w:rsidRPr="00197DBB" w:rsidRDefault="00984CA1" w:rsidP="00186926">
      <w:pPr>
        <w:pStyle w:val="Default"/>
        <w:numPr>
          <w:ilvl w:val="0"/>
          <w:numId w:val="21"/>
        </w:numPr>
        <w:spacing w:line="360" w:lineRule="auto"/>
        <w:ind w:left="426"/>
        <w:jc w:val="both"/>
        <w:rPr>
          <w:rFonts w:ascii="Perpetua" w:hAnsi="Perpetua" w:cs="Times New Roman"/>
        </w:rPr>
      </w:pPr>
      <w:r w:rsidRPr="00197DBB">
        <w:rPr>
          <w:rFonts w:ascii="Perpetua" w:hAnsi="Perpetua" w:cs="Times New Roman"/>
        </w:rPr>
        <w:t xml:space="preserve">una dichiarazione, ai sensi del </w:t>
      </w:r>
      <w:r w:rsidR="00AB5E28" w:rsidRPr="00197DBB">
        <w:rPr>
          <w:rFonts w:ascii="Perpetua" w:hAnsi="Perpetua" w:cs="Times New Roman"/>
        </w:rPr>
        <w:t>D</w:t>
      </w:r>
      <w:r w:rsidRPr="00197DBB">
        <w:rPr>
          <w:rFonts w:ascii="Perpetua" w:hAnsi="Perpetua" w:cs="Times New Roman"/>
        </w:rPr>
        <w:t>.P.R. 445/00, sottoscritta dal legale rappresentante</w:t>
      </w:r>
      <w:r w:rsidR="00F27CEE" w:rsidRPr="00197DBB">
        <w:rPr>
          <w:rFonts w:ascii="Perpetua" w:hAnsi="Perpetua" w:cs="Times New Roman"/>
        </w:rPr>
        <w:t xml:space="preserve"> del Comune</w:t>
      </w:r>
      <w:r w:rsidRPr="00197DBB">
        <w:rPr>
          <w:rFonts w:ascii="Perpetua" w:hAnsi="Perpetua" w:cs="Times New Roman"/>
        </w:rPr>
        <w:t>, att</w:t>
      </w:r>
      <w:r w:rsidRPr="00197DBB">
        <w:rPr>
          <w:rFonts w:ascii="Perpetua" w:hAnsi="Perpetua" w:cs="Times New Roman"/>
        </w:rPr>
        <w:t>e</w:t>
      </w:r>
      <w:r w:rsidRPr="00197DBB">
        <w:rPr>
          <w:rFonts w:ascii="Perpetua" w:hAnsi="Perpetua" w:cs="Times New Roman"/>
        </w:rPr>
        <w:t xml:space="preserve">stante la veridicità dei dati trasmessi e la corrispondenza tra i valori riportati nella modulistica con i valori desumibili dalla documentazione contabile di riferimento tenuta ai sensi di legge, redatta secondo lo schema approvato con determinazione N. 1/DTAC/2023; </w:t>
      </w:r>
    </w:p>
    <w:p w:rsidR="00F27CEE" w:rsidRPr="00197DBB" w:rsidRDefault="00F27CEE" w:rsidP="00F27CEE">
      <w:pPr>
        <w:pStyle w:val="Default"/>
        <w:numPr>
          <w:ilvl w:val="0"/>
          <w:numId w:val="21"/>
        </w:numPr>
        <w:spacing w:line="360" w:lineRule="auto"/>
        <w:ind w:left="426"/>
        <w:jc w:val="both"/>
        <w:rPr>
          <w:rFonts w:ascii="Perpetua" w:hAnsi="Perpetua" w:cs="Times New Roman"/>
        </w:rPr>
      </w:pPr>
      <w:r w:rsidRPr="00197DBB">
        <w:rPr>
          <w:rFonts w:ascii="Perpetua" w:hAnsi="Perpetua" w:cs="Times New Roman"/>
        </w:rPr>
        <w:t xml:space="preserve">una dichiarazione, ai sensi del D.P.R. 445/00, sottoscritta dal legale rappresentante del </w:t>
      </w:r>
      <w:r w:rsidR="00701D04" w:rsidRPr="00197DBB">
        <w:rPr>
          <w:rFonts w:ascii="Perpetua" w:hAnsi="Perpetua" w:cs="Times New Roman"/>
        </w:rPr>
        <w:t>ECONORD</w:t>
      </w:r>
      <w:r w:rsidR="00D77C06" w:rsidRPr="00197DBB">
        <w:rPr>
          <w:rFonts w:ascii="Perpetua" w:hAnsi="Perpetua" w:cs="Times New Roman"/>
        </w:rPr>
        <w:t xml:space="preserve"> S.r.l.</w:t>
      </w:r>
      <w:r w:rsidRPr="00197DBB">
        <w:rPr>
          <w:rFonts w:ascii="Perpetua" w:hAnsi="Perpetua" w:cs="Times New Roman"/>
        </w:rPr>
        <w:t>, attestante la veridicità dei dati trasmessi e la corrispondenza tra i valori riportati nella modulistica con i valori desumibili dalla documentazione contabile di riferimento tenuta ai sensi di legge, redatta s</w:t>
      </w:r>
      <w:r w:rsidRPr="00197DBB">
        <w:rPr>
          <w:rFonts w:ascii="Perpetua" w:hAnsi="Perpetua" w:cs="Times New Roman"/>
        </w:rPr>
        <w:t>e</w:t>
      </w:r>
      <w:r w:rsidRPr="00197DBB">
        <w:rPr>
          <w:rFonts w:ascii="Perpetua" w:hAnsi="Perpetua" w:cs="Times New Roman"/>
        </w:rPr>
        <w:t xml:space="preserve">condo lo schema approvato con determinazione N. 1/DTAC/2023; </w:t>
      </w:r>
    </w:p>
    <w:p w:rsidR="00197DBB" w:rsidRPr="00197DBB" w:rsidRDefault="00984CA1" w:rsidP="00197DBB">
      <w:pPr>
        <w:pStyle w:val="Default"/>
        <w:numPr>
          <w:ilvl w:val="0"/>
          <w:numId w:val="21"/>
        </w:numPr>
        <w:spacing w:line="360" w:lineRule="auto"/>
        <w:ind w:left="426"/>
        <w:jc w:val="both"/>
        <w:rPr>
          <w:rFonts w:ascii="Perpetua" w:hAnsi="Perpetua" w:cs="Times New Roman"/>
        </w:rPr>
      </w:pPr>
      <w:r w:rsidRPr="00197DBB">
        <w:rPr>
          <w:rFonts w:ascii="Perpetua" w:hAnsi="Perpetua" w:cs="Times New Roman"/>
        </w:rPr>
        <w:t xml:space="preserve">una relazione di accompagnamento che illustra sia i criteri di corrispondenza tra i valori riportati nella modulistica con i valori desumibili dalla documentazione contabile, sia le evidenze contabili sottostanti, redatta secondo lo schema approvato con determinazione N. 1/DTAC/2023; </w:t>
      </w:r>
    </w:p>
    <w:p w:rsidR="00FB26B7" w:rsidRPr="00197DBB" w:rsidRDefault="00197DBB" w:rsidP="00197DBB">
      <w:pPr>
        <w:pStyle w:val="Default"/>
        <w:numPr>
          <w:ilvl w:val="0"/>
          <w:numId w:val="21"/>
        </w:numPr>
        <w:spacing w:line="360" w:lineRule="auto"/>
        <w:ind w:left="426"/>
        <w:jc w:val="both"/>
        <w:rPr>
          <w:rFonts w:ascii="Perpetua" w:hAnsi="Perpetua" w:cs="Times New Roman"/>
        </w:rPr>
      </w:pPr>
      <w:r w:rsidRPr="00197DBB">
        <w:rPr>
          <w:rFonts w:ascii="Perpetua" w:hAnsi="Perpetua"/>
        </w:rPr>
        <w:t>Prospetto di riconciliazione contabile al Bilancio consuntivo 2022;</w:t>
      </w:r>
    </w:p>
    <w:p w:rsidR="005F5BA6" w:rsidRPr="004D724D" w:rsidRDefault="00B50628" w:rsidP="004D724D">
      <w:pPr>
        <w:spacing w:line="360" w:lineRule="auto"/>
        <w:jc w:val="both"/>
        <w:rPr>
          <w:rFonts w:ascii="Perpetua" w:hAnsi="Perpetua" w:cs="Times New Roman"/>
          <w:b/>
          <w:bCs/>
        </w:rPr>
      </w:pPr>
      <w:r w:rsidRPr="004D724D">
        <w:rPr>
          <w:rFonts w:ascii="Perpetua" w:hAnsi="Perpetua" w:cs="Times New Roman"/>
          <w:b/>
          <w:bCs/>
        </w:rPr>
        <w:t xml:space="preserve">TENUTO CONTO </w:t>
      </w:r>
      <w:r w:rsidRPr="004D724D">
        <w:rPr>
          <w:rFonts w:ascii="Perpetua" w:hAnsi="Perpetua" w:cs="Times New Roman"/>
        </w:rPr>
        <w:t xml:space="preserve">del seguente valore delle entrate tariffarie 2022-2025 calcolato ai sensi del MTR-2 prima e dopo le detrazioni </w:t>
      </w:r>
      <w:r w:rsidRPr="004D724D">
        <w:rPr>
          <w:rFonts w:ascii="Perpetua" w:hAnsi="Perpetua" w:cs="Times New Roman"/>
          <w:i/>
          <w:iCs/>
        </w:rPr>
        <w:t xml:space="preserve">ex </w:t>
      </w:r>
      <w:r w:rsidRPr="004D724D">
        <w:rPr>
          <w:rFonts w:ascii="Perpetua" w:hAnsi="Perpetua" w:cs="Times New Roman"/>
        </w:rPr>
        <w:t>art. 4.6 della Deliberazione 363/2021/R/RIF che il Gestore ed il Comune, verificato il permanere dell’equilibrio economico–finanziario, hanno inteso operare</w:t>
      </w:r>
      <w:r w:rsidR="00C50E33">
        <w:rPr>
          <w:rFonts w:ascii="Perpetua" w:hAnsi="Perpetua" w:cs="Times New Roman"/>
        </w:rPr>
        <w:t>;</w:t>
      </w:r>
    </w:p>
    <w:p w:rsidR="00B50628" w:rsidRDefault="00B50628" w:rsidP="004D724D">
      <w:pPr>
        <w:pStyle w:val="Default"/>
        <w:spacing w:line="360" w:lineRule="auto"/>
        <w:jc w:val="both"/>
        <w:rPr>
          <w:rFonts w:ascii="Perpetua" w:hAnsi="Perpetua" w:cs="Times New Roman"/>
        </w:rPr>
      </w:pPr>
      <w:r w:rsidRPr="004D724D">
        <w:rPr>
          <w:rFonts w:ascii="Perpetua" w:hAnsi="Perpetua" w:cs="Times New Roman"/>
          <w:b/>
          <w:bCs/>
        </w:rPr>
        <w:lastRenderedPageBreak/>
        <w:t xml:space="preserve">CONSIDERATO </w:t>
      </w:r>
      <w:r w:rsidRPr="004D724D">
        <w:rPr>
          <w:rFonts w:ascii="Perpetua" w:hAnsi="Perpetua" w:cs="Times New Roman"/>
        </w:rPr>
        <w:t xml:space="preserve">che per l’ambito tariffario in esame il valore del limite di crescita ammissibile delle entrate tariffarie assume per </w:t>
      </w:r>
      <w:r w:rsidR="003C2C41" w:rsidRPr="004D724D">
        <w:rPr>
          <w:rFonts w:ascii="Perpetua" w:hAnsi="Perpetua" w:cs="Times New Roman"/>
        </w:rPr>
        <w:t xml:space="preserve">l’anno </w:t>
      </w:r>
      <w:r w:rsidR="003C2C41" w:rsidRPr="004D724D">
        <w:rPr>
          <w:rFonts w:ascii="Perpetua" w:hAnsi="Perpetua" w:cs="Times New Roman"/>
          <w:b/>
          <w:bCs/>
        </w:rPr>
        <w:t>2024</w:t>
      </w:r>
      <w:r w:rsidRPr="004D724D">
        <w:rPr>
          <w:rFonts w:ascii="Perpetua" w:hAnsi="Perpetua" w:cs="Times New Roman"/>
        </w:rPr>
        <w:t xml:space="preserve"> il seguente valore: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32"/>
        <w:gridCol w:w="2446"/>
      </w:tblGrid>
      <w:tr w:rsidR="00D96F7D" w:rsidRPr="00D96F7D" w:rsidTr="00D96F7D">
        <w:trPr>
          <w:trHeight w:val="402"/>
        </w:trPr>
        <w:tc>
          <w:tcPr>
            <w:tcW w:w="3749" w:type="pct"/>
            <w:shd w:val="clear" w:color="000000" w:fill="FFFFFF"/>
            <w:noWrap/>
            <w:vAlign w:val="bottom"/>
            <w:hideMark/>
          </w:tcPr>
          <w:p w:rsidR="00D96F7D" w:rsidRPr="00D96F7D" w:rsidRDefault="00D96F7D" w:rsidP="0078536B">
            <w:pPr>
              <w:jc w:val="center"/>
              <w:rPr>
                <w:rFonts w:ascii="Perpetua" w:hAnsi="Perpetua"/>
                <w:b/>
                <w:bCs/>
                <w:color w:val="C00000"/>
                <w:sz w:val="20"/>
                <w:szCs w:val="20"/>
              </w:rPr>
            </w:pPr>
            <w:r w:rsidRPr="00D96F7D">
              <w:rPr>
                <w:rFonts w:ascii="Perpetua" w:hAnsi="Perpetua"/>
                <w:b/>
                <w:bCs/>
                <w:color w:val="C00000"/>
                <w:sz w:val="20"/>
                <w:szCs w:val="20"/>
              </w:rPr>
              <w:t>Verifica del limite di crescita</w:t>
            </w:r>
          </w:p>
        </w:tc>
        <w:tc>
          <w:tcPr>
            <w:tcW w:w="1251" w:type="pct"/>
            <w:shd w:val="clear" w:color="000000" w:fill="FFFFFF"/>
            <w:noWrap/>
            <w:vAlign w:val="bottom"/>
            <w:hideMark/>
          </w:tcPr>
          <w:p w:rsidR="00D96F7D" w:rsidRPr="00D96F7D" w:rsidRDefault="00D96F7D" w:rsidP="0078536B">
            <w:pPr>
              <w:jc w:val="center"/>
              <w:rPr>
                <w:rFonts w:ascii="Perpetua" w:hAnsi="Perpetua"/>
                <w:color w:val="000000"/>
                <w:sz w:val="20"/>
                <w:szCs w:val="20"/>
              </w:rPr>
            </w:pPr>
          </w:p>
        </w:tc>
      </w:tr>
      <w:tr w:rsidR="00D96F7D" w:rsidRPr="00D96F7D" w:rsidTr="00D96F7D">
        <w:trPr>
          <w:trHeight w:val="402"/>
        </w:trPr>
        <w:tc>
          <w:tcPr>
            <w:tcW w:w="3749" w:type="pct"/>
            <w:shd w:val="clear" w:color="000000" w:fill="FFFFCC"/>
            <w:noWrap/>
            <w:vAlign w:val="center"/>
            <w:hideMark/>
          </w:tcPr>
          <w:p w:rsidR="00D96F7D" w:rsidRPr="00D96F7D" w:rsidRDefault="00D96F7D" w:rsidP="0078536B">
            <w:pPr>
              <w:jc w:val="center"/>
              <w:rPr>
                <w:rFonts w:ascii="Perpetua" w:hAnsi="Perpetua"/>
                <w:i/>
                <w:iCs/>
                <w:color w:val="000000"/>
                <w:sz w:val="20"/>
                <w:szCs w:val="20"/>
              </w:rPr>
            </w:pPr>
            <w:proofErr w:type="spellStart"/>
            <w:r w:rsidRPr="00D96F7D">
              <w:rPr>
                <w:rFonts w:ascii="Perpetua" w:hAnsi="Perpetua"/>
                <w:i/>
                <w:iCs/>
                <w:color w:val="000000"/>
                <w:sz w:val="20"/>
                <w:szCs w:val="20"/>
              </w:rPr>
              <w:t>rpi</w:t>
            </w:r>
            <w:r w:rsidRPr="00D96F7D">
              <w:rPr>
                <w:rFonts w:ascii="Perpetua" w:hAnsi="Perpetua"/>
                <w:i/>
                <w:iCs/>
                <w:color w:val="000000"/>
                <w:sz w:val="20"/>
                <w:szCs w:val="20"/>
                <w:vertAlign w:val="subscript"/>
              </w:rPr>
              <w:t>a</w:t>
            </w:r>
            <w:proofErr w:type="spellEnd"/>
          </w:p>
        </w:tc>
        <w:tc>
          <w:tcPr>
            <w:tcW w:w="1251" w:type="pct"/>
            <w:shd w:val="clear" w:color="000000" w:fill="FFFFCC"/>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2,7%</w:t>
            </w:r>
          </w:p>
        </w:tc>
      </w:tr>
      <w:tr w:rsidR="00D96F7D" w:rsidRPr="00D96F7D" w:rsidTr="00D96F7D">
        <w:trPr>
          <w:trHeight w:val="402"/>
        </w:trPr>
        <w:tc>
          <w:tcPr>
            <w:tcW w:w="3749"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coefficiente di recupero di produttività   </w:t>
            </w:r>
            <w:proofErr w:type="spellStart"/>
            <w:r w:rsidRPr="00D96F7D">
              <w:rPr>
                <w:rFonts w:ascii="Perpetua" w:hAnsi="Perpetua"/>
                <w:b/>
                <w:bCs/>
                <w:i/>
                <w:iCs/>
                <w:color w:val="000000"/>
                <w:sz w:val="20"/>
                <w:szCs w:val="20"/>
              </w:rPr>
              <w:t>X</w:t>
            </w:r>
            <w:r w:rsidRPr="00D96F7D">
              <w:rPr>
                <w:rFonts w:ascii="Perpetua" w:hAnsi="Perpetua"/>
                <w:i/>
                <w:iCs/>
                <w:color w:val="000000"/>
                <w:sz w:val="20"/>
                <w:szCs w:val="20"/>
                <w:vertAlign w:val="subscript"/>
              </w:rPr>
              <w:t>a</w:t>
            </w:r>
            <w:proofErr w:type="spellEnd"/>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0,11%</w:t>
            </w:r>
          </w:p>
        </w:tc>
      </w:tr>
      <w:tr w:rsidR="00D96F7D" w:rsidRPr="00D96F7D" w:rsidTr="00D96F7D">
        <w:trPr>
          <w:trHeight w:val="402"/>
        </w:trPr>
        <w:tc>
          <w:tcPr>
            <w:tcW w:w="3749"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il miglioramento previsto della qualità </w:t>
            </w:r>
            <w:r w:rsidRPr="00D96F7D">
              <w:rPr>
                <w:rFonts w:ascii="Perpetua" w:hAnsi="Perpetua"/>
                <w:b/>
                <w:bCs/>
                <w:color w:val="000000"/>
                <w:sz w:val="20"/>
                <w:szCs w:val="20"/>
              </w:rPr>
              <w:t xml:space="preserve">  </w:t>
            </w:r>
            <w:proofErr w:type="spellStart"/>
            <w:r w:rsidRPr="00D96F7D">
              <w:rPr>
                <w:rFonts w:ascii="Perpetua" w:hAnsi="Perpetua"/>
                <w:b/>
                <w:bCs/>
                <w:i/>
                <w:iCs/>
                <w:color w:val="000000"/>
                <w:sz w:val="20"/>
                <w:szCs w:val="20"/>
              </w:rPr>
              <w:t>QL</w:t>
            </w:r>
            <w:r w:rsidRPr="00D96F7D">
              <w:rPr>
                <w:rFonts w:ascii="Perpetua" w:hAnsi="Perpetua"/>
                <w:b/>
                <w:bCs/>
                <w:i/>
                <w:iCs/>
                <w:color w:val="000000"/>
                <w:sz w:val="20"/>
                <w:szCs w:val="20"/>
                <w:vertAlign w:val="subscript"/>
              </w:rPr>
              <w:t>a</w:t>
            </w:r>
            <w:proofErr w:type="spellEnd"/>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9"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la valorizzazione di modifiche del perimetro gestionale   </w:t>
            </w:r>
            <w:proofErr w:type="spellStart"/>
            <w:r w:rsidRPr="00D96F7D">
              <w:rPr>
                <w:rFonts w:ascii="Perpetua" w:hAnsi="Perpetua"/>
                <w:b/>
                <w:bCs/>
                <w:i/>
                <w:iCs/>
                <w:color w:val="000000"/>
                <w:sz w:val="20"/>
                <w:szCs w:val="20"/>
              </w:rPr>
              <w:t>PG</w:t>
            </w:r>
            <w:r w:rsidRPr="00D96F7D">
              <w:rPr>
                <w:rFonts w:ascii="Perpetua" w:hAnsi="Perpetua"/>
                <w:b/>
                <w:bCs/>
                <w:i/>
                <w:iCs/>
                <w:color w:val="000000"/>
                <w:sz w:val="20"/>
                <w:szCs w:val="20"/>
                <w:vertAlign w:val="subscript"/>
              </w:rPr>
              <w:t>a</w:t>
            </w:r>
            <w:proofErr w:type="spellEnd"/>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9"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decreto legislativo n. 116/20   </w:t>
            </w:r>
            <w:r w:rsidRPr="00D96F7D">
              <w:rPr>
                <w:rFonts w:ascii="Perpetua" w:hAnsi="Perpetua"/>
                <w:b/>
                <w:bCs/>
                <w:i/>
                <w:iCs/>
                <w:color w:val="000000"/>
                <w:sz w:val="20"/>
                <w:szCs w:val="20"/>
              </w:rPr>
              <w:t>C</w:t>
            </w:r>
            <w:r w:rsidRPr="00D96F7D">
              <w:rPr>
                <w:rFonts w:ascii="Perpetua" w:hAnsi="Perpetua"/>
                <w:b/>
                <w:bCs/>
                <w:i/>
                <w:iCs/>
                <w:sz w:val="20"/>
                <w:szCs w:val="20"/>
                <w:vertAlign w:val="subscript"/>
              </w:rPr>
              <w:t>116</w:t>
            </w:r>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9" w:type="pct"/>
            <w:shd w:val="clear" w:color="000000" w:fill="FFFFFF"/>
            <w:noWrap/>
            <w:vAlign w:val="center"/>
            <w:hideMark/>
          </w:tcPr>
          <w:p w:rsidR="00D96F7D" w:rsidRPr="00D96F7D" w:rsidRDefault="00D96F7D" w:rsidP="0078536B">
            <w:pPr>
              <w:jc w:val="center"/>
              <w:rPr>
                <w:rFonts w:ascii="Perpetua" w:hAnsi="Perpetua"/>
                <w:sz w:val="20"/>
                <w:szCs w:val="20"/>
              </w:rPr>
            </w:pPr>
            <w:r w:rsidRPr="00D96F7D">
              <w:rPr>
                <w:rFonts w:ascii="Perpetua" w:hAnsi="Perpetua"/>
                <w:sz w:val="20"/>
                <w:szCs w:val="20"/>
              </w:rPr>
              <w:t xml:space="preserve">coeff. per recupero inflazione </w:t>
            </w:r>
            <w:proofErr w:type="spellStart"/>
            <w:r w:rsidRPr="00D96F7D">
              <w:rPr>
                <w:rFonts w:ascii="Perpetua" w:hAnsi="Perpetua"/>
                <w:b/>
                <w:bCs/>
                <w:i/>
                <w:iCs/>
                <w:sz w:val="20"/>
                <w:szCs w:val="20"/>
              </w:rPr>
              <w:t>CRI</w:t>
            </w:r>
            <w:r w:rsidRPr="00D96F7D">
              <w:rPr>
                <w:rFonts w:ascii="Perpetua" w:hAnsi="Perpetua"/>
                <w:b/>
                <w:bCs/>
                <w:i/>
                <w:iCs/>
                <w:sz w:val="20"/>
                <w:szCs w:val="20"/>
                <w:vertAlign w:val="subscript"/>
              </w:rPr>
              <w:t>a</w:t>
            </w:r>
            <w:proofErr w:type="spellEnd"/>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7,00%</w:t>
            </w:r>
          </w:p>
        </w:tc>
      </w:tr>
      <w:tr w:rsidR="00D96F7D" w:rsidRPr="00D96F7D" w:rsidTr="00D96F7D">
        <w:trPr>
          <w:trHeight w:val="402"/>
        </w:trPr>
        <w:tc>
          <w:tcPr>
            <w:tcW w:w="3749" w:type="pct"/>
            <w:shd w:val="clear" w:color="000000" w:fill="0070C0"/>
            <w:noWrap/>
            <w:vAlign w:val="center"/>
            <w:hideMark/>
          </w:tcPr>
          <w:p w:rsidR="00D96F7D" w:rsidRPr="00D96F7D" w:rsidRDefault="00D96F7D" w:rsidP="0078536B">
            <w:pPr>
              <w:jc w:val="center"/>
              <w:rPr>
                <w:rFonts w:ascii="Perpetua" w:hAnsi="Perpetua"/>
                <w:b/>
                <w:bCs/>
                <w:color w:val="FFFFFF"/>
                <w:sz w:val="20"/>
                <w:szCs w:val="20"/>
              </w:rPr>
            </w:pPr>
            <w:r w:rsidRPr="00D96F7D">
              <w:rPr>
                <w:rFonts w:ascii="Perpetua" w:hAnsi="Perpetua"/>
                <w:b/>
                <w:bCs/>
                <w:color w:val="FFFFFF"/>
                <w:sz w:val="20"/>
                <w:szCs w:val="20"/>
              </w:rPr>
              <w:t xml:space="preserve">Parametro per la determinazione del limite alla crescita delle tariffe </w:t>
            </w:r>
            <w:r w:rsidRPr="00D96F7D">
              <w:rPr>
                <w:rFonts w:ascii="Cambria" w:hAnsi="Cambria" w:cs="Cambria"/>
                <w:b/>
                <w:bCs/>
                <w:i/>
                <w:iCs/>
                <w:color w:val="FFFFFF"/>
                <w:sz w:val="20"/>
                <w:szCs w:val="20"/>
              </w:rPr>
              <w:t>ρ</w:t>
            </w:r>
          </w:p>
        </w:tc>
        <w:tc>
          <w:tcPr>
            <w:tcW w:w="1251" w:type="pct"/>
            <w:shd w:val="clear" w:color="000000" w:fill="0070C0"/>
            <w:noWrap/>
            <w:hideMark/>
          </w:tcPr>
          <w:p w:rsidR="00D96F7D" w:rsidRPr="00D96F7D" w:rsidRDefault="00D96F7D" w:rsidP="0078536B">
            <w:pPr>
              <w:jc w:val="center"/>
              <w:rPr>
                <w:rFonts w:ascii="Perpetua" w:hAnsi="Perpetua"/>
                <w:b/>
                <w:bCs/>
                <w:color w:val="FFFFFF" w:themeColor="background1"/>
                <w:sz w:val="20"/>
                <w:szCs w:val="20"/>
              </w:rPr>
            </w:pPr>
            <w:r w:rsidRPr="00D96F7D">
              <w:rPr>
                <w:rFonts w:ascii="Perpetua" w:hAnsi="Perpetua"/>
                <w:b/>
                <w:bCs/>
                <w:color w:val="FFFFFF" w:themeColor="background1"/>
                <w:sz w:val="20"/>
                <w:szCs w:val="20"/>
              </w:rPr>
              <w:t>9,59%</w:t>
            </w:r>
          </w:p>
        </w:tc>
      </w:tr>
      <w:tr w:rsidR="00D96F7D" w:rsidRPr="00D96F7D" w:rsidTr="00D96F7D">
        <w:trPr>
          <w:trHeight w:val="235"/>
        </w:trPr>
        <w:tc>
          <w:tcPr>
            <w:tcW w:w="3749" w:type="pct"/>
            <w:shd w:val="clear" w:color="000000" w:fill="0070C0"/>
            <w:noWrap/>
            <w:vAlign w:val="center"/>
            <w:hideMark/>
          </w:tcPr>
          <w:p w:rsidR="00D96F7D" w:rsidRPr="00D96F7D" w:rsidRDefault="00D96F7D" w:rsidP="0078536B">
            <w:pPr>
              <w:jc w:val="center"/>
              <w:rPr>
                <w:rFonts w:ascii="Perpetua" w:hAnsi="Perpetua"/>
                <w:b/>
                <w:bCs/>
                <w:i/>
                <w:iCs/>
                <w:color w:val="FFFFFF"/>
                <w:sz w:val="20"/>
                <w:szCs w:val="20"/>
              </w:rPr>
            </w:pPr>
            <w:r w:rsidRPr="00D96F7D">
              <w:rPr>
                <w:rFonts w:ascii="Perpetua" w:hAnsi="Perpetua"/>
                <w:b/>
                <w:bCs/>
                <w:i/>
                <w:iCs/>
                <w:color w:val="FFFFFF"/>
                <w:sz w:val="20"/>
                <w:szCs w:val="20"/>
              </w:rPr>
              <w:t>(1+</w:t>
            </w:r>
            <w:r w:rsidRPr="00D96F7D">
              <w:rPr>
                <w:rFonts w:ascii="Cambria" w:hAnsi="Cambria" w:cs="Cambria"/>
                <w:b/>
                <w:bCs/>
                <w:i/>
                <w:iCs/>
                <w:color w:val="FFFFFF"/>
                <w:sz w:val="20"/>
                <w:szCs w:val="20"/>
              </w:rPr>
              <w:t>ρ</w:t>
            </w:r>
            <w:r w:rsidRPr="00D96F7D">
              <w:rPr>
                <w:rFonts w:ascii="Perpetua" w:hAnsi="Perpetua"/>
                <w:b/>
                <w:bCs/>
                <w:i/>
                <w:iCs/>
                <w:color w:val="FFFFFF"/>
                <w:sz w:val="20"/>
                <w:szCs w:val="20"/>
              </w:rPr>
              <w:t>)</w:t>
            </w:r>
          </w:p>
        </w:tc>
        <w:tc>
          <w:tcPr>
            <w:tcW w:w="1251" w:type="pct"/>
            <w:shd w:val="clear" w:color="000000" w:fill="0070C0"/>
            <w:noWrap/>
            <w:hideMark/>
          </w:tcPr>
          <w:p w:rsidR="00D96F7D" w:rsidRPr="00D96F7D" w:rsidRDefault="00D96F7D" w:rsidP="0078536B">
            <w:pPr>
              <w:jc w:val="center"/>
              <w:rPr>
                <w:rFonts w:ascii="Perpetua" w:hAnsi="Perpetua"/>
                <w:b/>
                <w:bCs/>
                <w:color w:val="FFFFFF" w:themeColor="background1"/>
                <w:sz w:val="20"/>
                <w:szCs w:val="20"/>
              </w:rPr>
            </w:pPr>
            <w:r w:rsidRPr="00D96F7D">
              <w:rPr>
                <w:rFonts w:ascii="Perpetua" w:hAnsi="Perpetua"/>
                <w:b/>
                <w:bCs/>
                <w:color w:val="FFFFFF" w:themeColor="background1"/>
                <w:sz w:val="20"/>
                <w:szCs w:val="20"/>
              </w:rPr>
              <w:t xml:space="preserve"> 1,0959 </w:t>
            </w:r>
          </w:p>
        </w:tc>
      </w:tr>
      <w:tr w:rsidR="00D96F7D" w:rsidRPr="00D96F7D" w:rsidTr="00D96F7D">
        <w:trPr>
          <w:trHeight w:val="402"/>
        </w:trPr>
        <w:tc>
          <w:tcPr>
            <w:tcW w:w="3749" w:type="pct"/>
            <w:shd w:val="clear" w:color="000000" w:fill="0070C0"/>
            <w:noWrap/>
            <w:vAlign w:val="center"/>
            <w:hideMark/>
          </w:tcPr>
          <w:p w:rsidR="00D96F7D" w:rsidRPr="00D96F7D" w:rsidRDefault="00D96F7D" w:rsidP="0078536B">
            <w:pPr>
              <w:jc w:val="center"/>
              <w:rPr>
                <w:rFonts w:ascii="Perpetua" w:hAnsi="Perpetua"/>
                <w:color w:val="FFFFFF"/>
                <w:sz w:val="20"/>
                <w:szCs w:val="20"/>
              </w:rPr>
            </w:pPr>
            <w:r w:rsidRPr="00D96F7D">
              <w:rPr>
                <w:rFonts w:ascii="Perpetua" w:hAnsi="Perpetua"/>
                <w:i/>
                <w:iCs/>
                <w:color w:val="FFFFFF"/>
                <w:sz w:val="20"/>
                <w:szCs w:val="20"/>
              </w:rPr>
              <w:t>∑T</w:t>
            </w:r>
            <w:r w:rsidRPr="00D96F7D">
              <w:rPr>
                <w:rFonts w:ascii="Perpetua" w:hAnsi="Perpetua"/>
                <w:i/>
                <w:iCs/>
                <w:color w:val="FFFFFF"/>
                <w:sz w:val="20"/>
                <w:szCs w:val="20"/>
                <w:vertAlign w:val="subscript"/>
              </w:rPr>
              <w:t>a</w:t>
            </w:r>
          </w:p>
        </w:tc>
        <w:tc>
          <w:tcPr>
            <w:tcW w:w="1251" w:type="pct"/>
            <w:shd w:val="clear" w:color="000000" w:fill="0070C0"/>
            <w:noWrap/>
            <w:hideMark/>
          </w:tcPr>
          <w:p w:rsidR="00D96F7D" w:rsidRPr="00D96F7D" w:rsidRDefault="00D96F7D" w:rsidP="0078536B">
            <w:pPr>
              <w:jc w:val="center"/>
              <w:rPr>
                <w:rFonts w:ascii="Perpetua" w:hAnsi="Perpetua"/>
                <w:b/>
                <w:bCs/>
                <w:color w:val="FFFFFF" w:themeColor="background1"/>
                <w:sz w:val="20"/>
                <w:szCs w:val="20"/>
              </w:rPr>
            </w:pPr>
            <w:r w:rsidRPr="00D96F7D">
              <w:rPr>
                <w:rFonts w:ascii="Perpetua" w:hAnsi="Perpetua"/>
                <w:b/>
                <w:bCs/>
                <w:color w:val="FFFFFF" w:themeColor="background1"/>
                <w:sz w:val="20"/>
                <w:szCs w:val="20"/>
              </w:rPr>
              <w:t xml:space="preserve"> 2.858.260 </w:t>
            </w:r>
          </w:p>
        </w:tc>
      </w:tr>
      <w:tr w:rsidR="00D96F7D" w:rsidRPr="00D96F7D" w:rsidTr="00D96F7D">
        <w:trPr>
          <w:trHeight w:val="402"/>
        </w:trPr>
        <w:tc>
          <w:tcPr>
            <w:tcW w:w="3749" w:type="pct"/>
            <w:shd w:val="clear" w:color="000000" w:fill="F2F2F2"/>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i/>
                <w:iCs/>
                <w:color w:val="000000"/>
                <w:sz w:val="20"/>
                <w:szCs w:val="20"/>
              </w:rPr>
              <w:t>∑TV</w:t>
            </w:r>
            <w:r w:rsidRPr="00D96F7D">
              <w:rPr>
                <w:rFonts w:ascii="Perpetua" w:hAnsi="Perpetua"/>
                <w:i/>
                <w:iCs/>
                <w:color w:val="000000"/>
                <w:sz w:val="20"/>
                <w:szCs w:val="20"/>
                <w:vertAlign w:val="subscript"/>
              </w:rPr>
              <w:t>a-1</w:t>
            </w:r>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 xml:space="preserve"> 1.639.137   </w:t>
            </w:r>
          </w:p>
        </w:tc>
      </w:tr>
      <w:tr w:rsidR="00D96F7D" w:rsidRPr="00D96F7D" w:rsidTr="00D96F7D">
        <w:trPr>
          <w:trHeight w:val="402"/>
        </w:trPr>
        <w:tc>
          <w:tcPr>
            <w:tcW w:w="3749" w:type="pct"/>
            <w:shd w:val="clear" w:color="000000" w:fill="F2F2F2"/>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i/>
                <w:iCs/>
                <w:color w:val="000000"/>
                <w:sz w:val="20"/>
                <w:szCs w:val="20"/>
              </w:rPr>
              <w:t>∑TF</w:t>
            </w:r>
            <w:r w:rsidRPr="00D96F7D">
              <w:rPr>
                <w:rFonts w:ascii="Perpetua" w:hAnsi="Perpetua"/>
                <w:i/>
                <w:iCs/>
                <w:color w:val="000000"/>
                <w:sz w:val="20"/>
                <w:szCs w:val="20"/>
                <w:vertAlign w:val="subscript"/>
              </w:rPr>
              <w:t>a-1</w:t>
            </w:r>
          </w:p>
        </w:tc>
        <w:tc>
          <w:tcPr>
            <w:tcW w:w="1251"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 xml:space="preserve"> 1.045.155   </w:t>
            </w:r>
          </w:p>
        </w:tc>
      </w:tr>
      <w:tr w:rsidR="00D96F7D" w:rsidRPr="00D96F7D" w:rsidTr="00D96F7D">
        <w:trPr>
          <w:trHeight w:val="402"/>
        </w:trPr>
        <w:tc>
          <w:tcPr>
            <w:tcW w:w="3749" w:type="pct"/>
            <w:shd w:val="clear" w:color="000000" w:fill="0070C0"/>
            <w:noWrap/>
            <w:vAlign w:val="center"/>
            <w:hideMark/>
          </w:tcPr>
          <w:p w:rsidR="00D96F7D" w:rsidRPr="00D96F7D" w:rsidRDefault="00D96F7D" w:rsidP="0078536B">
            <w:pPr>
              <w:jc w:val="center"/>
              <w:rPr>
                <w:rFonts w:ascii="Perpetua" w:hAnsi="Perpetua"/>
                <w:color w:val="FFFFFF"/>
                <w:sz w:val="20"/>
                <w:szCs w:val="20"/>
              </w:rPr>
            </w:pPr>
            <w:r w:rsidRPr="00D96F7D">
              <w:rPr>
                <w:rFonts w:ascii="Perpetua" w:hAnsi="Perpetua"/>
                <w:i/>
                <w:iCs/>
                <w:color w:val="FFFFFF"/>
                <w:sz w:val="20"/>
                <w:szCs w:val="20"/>
              </w:rPr>
              <w:t>∑T</w:t>
            </w:r>
            <w:r w:rsidRPr="00D96F7D">
              <w:rPr>
                <w:rFonts w:ascii="Perpetua" w:hAnsi="Perpetua"/>
                <w:i/>
                <w:iCs/>
                <w:color w:val="FFFFFF"/>
                <w:sz w:val="20"/>
                <w:szCs w:val="20"/>
                <w:vertAlign w:val="subscript"/>
              </w:rPr>
              <w:t>a-1</w:t>
            </w:r>
          </w:p>
        </w:tc>
        <w:tc>
          <w:tcPr>
            <w:tcW w:w="1251" w:type="pct"/>
            <w:shd w:val="clear" w:color="000000" w:fill="0070C0"/>
            <w:noWrap/>
            <w:hideMark/>
          </w:tcPr>
          <w:p w:rsidR="00D96F7D" w:rsidRPr="00D96F7D" w:rsidRDefault="00D96F7D" w:rsidP="0078536B">
            <w:pPr>
              <w:jc w:val="center"/>
              <w:rPr>
                <w:rFonts w:ascii="Perpetua" w:hAnsi="Perpetua"/>
                <w:b/>
                <w:bCs/>
                <w:color w:val="FFFFFF" w:themeColor="background1"/>
                <w:sz w:val="20"/>
                <w:szCs w:val="20"/>
              </w:rPr>
            </w:pPr>
            <w:r w:rsidRPr="00D96F7D">
              <w:rPr>
                <w:rFonts w:ascii="Perpetua" w:hAnsi="Perpetua"/>
                <w:b/>
                <w:bCs/>
                <w:color w:val="FFFFFF" w:themeColor="background1"/>
                <w:sz w:val="20"/>
                <w:szCs w:val="20"/>
              </w:rPr>
              <w:t xml:space="preserve"> 2.684.292   </w:t>
            </w:r>
          </w:p>
        </w:tc>
      </w:tr>
      <w:tr w:rsidR="00D96F7D" w:rsidRPr="00D96F7D" w:rsidTr="00D96F7D">
        <w:trPr>
          <w:trHeight w:val="402"/>
        </w:trPr>
        <w:tc>
          <w:tcPr>
            <w:tcW w:w="3749" w:type="pct"/>
            <w:shd w:val="clear" w:color="000000" w:fill="0070C0"/>
            <w:noWrap/>
            <w:vAlign w:val="center"/>
            <w:hideMark/>
          </w:tcPr>
          <w:p w:rsidR="00D96F7D" w:rsidRPr="00D96F7D" w:rsidRDefault="00D96F7D" w:rsidP="0078536B">
            <w:pPr>
              <w:jc w:val="center"/>
              <w:rPr>
                <w:rFonts w:ascii="Perpetua" w:hAnsi="Perpetua"/>
                <w:b/>
                <w:bCs/>
                <w:color w:val="FFFFFF"/>
                <w:sz w:val="20"/>
                <w:szCs w:val="20"/>
              </w:rPr>
            </w:pPr>
            <w:r w:rsidRPr="00D96F7D">
              <w:rPr>
                <w:rFonts w:ascii="Perpetua" w:hAnsi="Perpetua"/>
                <w:b/>
                <w:bCs/>
                <w:i/>
                <w:iCs/>
                <w:color w:val="FFFFFF"/>
                <w:sz w:val="20"/>
                <w:szCs w:val="20"/>
              </w:rPr>
              <w:t>∑T</w:t>
            </w:r>
            <w:r w:rsidRPr="00D96F7D">
              <w:rPr>
                <w:rFonts w:ascii="Perpetua" w:hAnsi="Perpetua"/>
                <w:b/>
                <w:bCs/>
                <w:i/>
                <w:iCs/>
                <w:color w:val="FFFFFF"/>
                <w:sz w:val="20"/>
                <w:szCs w:val="20"/>
                <w:vertAlign w:val="subscript"/>
              </w:rPr>
              <w:t>a</w:t>
            </w:r>
            <w:r w:rsidRPr="00D96F7D">
              <w:rPr>
                <w:rFonts w:ascii="Perpetua" w:hAnsi="Perpetua"/>
                <w:b/>
                <w:bCs/>
                <w:i/>
                <w:iCs/>
                <w:color w:val="FFFFFF"/>
                <w:sz w:val="20"/>
                <w:szCs w:val="20"/>
              </w:rPr>
              <w:t>/ ∑T</w:t>
            </w:r>
            <w:r w:rsidRPr="00D96F7D">
              <w:rPr>
                <w:rFonts w:ascii="Perpetua" w:hAnsi="Perpetua"/>
                <w:b/>
                <w:bCs/>
                <w:i/>
                <w:iCs/>
                <w:color w:val="FFFFFF"/>
                <w:sz w:val="20"/>
                <w:szCs w:val="20"/>
                <w:vertAlign w:val="subscript"/>
              </w:rPr>
              <w:t>a-1</w:t>
            </w:r>
          </w:p>
        </w:tc>
        <w:tc>
          <w:tcPr>
            <w:tcW w:w="1251" w:type="pct"/>
            <w:shd w:val="clear" w:color="000000" w:fill="0070C0"/>
            <w:noWrap/>
            <w:hideMark/>
          </w:tcPr>
          <w:p w:rsidR="00D96F7D" w:rsidRPr="00D96F7D" w:rsidRDefault="00D96F7D" w:rsidP="0078536B">
            <w:pPr>
              <w:jc w:val="center"/>
              <w:rPr>
                <w:rFonts w:ascii="Perpetua" w:hAnsi="Perpetua"/>
                <w:b/>
                <w:bCs/>
                <w:color w:val="FFFFFF" w:themeColor="background1"/>
                <w:sz w:val="20"/>
                <w:szCs w:val="20"/>
              </w:rPr>
            </w:pPr>
            <w:r w:rsidRPr="00D96F7D">
              <w:rPr>
                <w:rFonts w:ascii="Perpetua" w:hAnsi="Perpetua"/>
                <w:b/>
                <w:bCs/>
                <w:color w:val="FFFFFF" w:themeColor="background1"/>
                <w:sz w:val="20"/>
                <w:szCs w:val="20"/>
              </w:rPr>
              <w:t xml:space="preserve"> 1,0648   </w:t>
            </w:r>
          </w:p>
        </w:tc>
      </w:tr>
      <w:tr w:rsidR="00D96F7D" w:rsidRPr="00D96F7D" w:rsidTr="00D96F7D">
        <w:trPr>
          <w:trHeight w:val="402"/>
        </w:trPr>
        <w:tc>
          <w:tcPr>
            <w:tcW w:w="5000" w:type="pct"/>
            <w:gridSpan w:val="2"/>
            <w:shd w:val="clear" w:color="000000" w:fill="0070C0"/>
            <w:noWrap/>
            <w:vAlign w:val="center"/>
          </w:tcPr>
          <w:p w:rsidR="00D96F7D" w:rsidRPr="00D96F7D" w:rsidRDefault="00D96F7D" w:rsidP="0078536B">
            <w:pPr>
              <w:jc w:val="center"/>
              <w:rPr>
                <w:rFonts w:ascii="Perpetua" w:hAnsi="Perpetua"/>
                <w:b/>
                <w:bCs/>
                <w:color w:val="FFFFFF"/>
                <w:sz w:val="20"/>
                <w:szCs w:val="20"/>
              </w:rPr>
            </w:pPr>
            <w:r w:rsidRPr="00D96F7D">
              <w:rPr>
                <w:rFonts w:ascii="Perpetua" w:hAnsi="Perpetua"/>
                <w:b/>
                <w:bCs/>
                <w:color w:val="FFFFFF"/>
                <w:sz w:val="20"/>
                <w:szCs w:val="20"/>
              </w:rPr>
              <w:t>1,0648&lt; 1,0959</w:t>
            </w:r>
          </w:p>
        </w:tc>
      </w:tr>
    </w:tbl>
    <w:p w:rsidR="00D96F7D" w:rsidRDefault="00D96F7D" w:rsidP="004D724D">
      <w:pPr>
        <w:pStyle w:val="Default"/>
        <w:spacing w:line="360" w:lineRule="auto"/>
        <w:jc w:val="both"/>
        <w:rPr>
          <w:rFonts w:ascii="Perpetua" w:hAnsi="Perpetua" w:cs="Times New Roman"/>
        </w:rPr>
      </w:pPr>
    </w:p>
    <w:p w:rsidR="003C2C41" w:rsidRDefault="003C2C41" w:rsidP="003C2C41">
      <w:pPr>
        <w:pStyle w:val="Default"/>
        <w:jc w:val="both"/>
        <w:rPr>
          <w:rFonts w:ascii="Perpetua" w:hAnsi="Perpetua" w:cs="Times New Roman"/>
        </w:rPr>
      </w:pPr>
      <w:r w:rsidRPr="00E66A69">
        <w:rPr>
          <w:rFonts w:ascii="Perpetua" w:hAnsi="Perpetua" w:cs="Times New Roman"/>
          <w:b/>
          <w:bCs/>
        </w:rPr>
        <w:t xml:space="preserve">CONSIDERATO </w:t>
      </w:r>
      <w:r w:rsidRPr="00E66A69">
        <w:rPr>
          <w:rFonts w:ascii="Perpetua" w:hAnsi="Perpetua" w:cs="Times New Roman"/>
        </w:rPr>
        <w:t xml:space="preserve">che per l’ambito tariffario in esame il valore del limite di crescita ammissibile delle entrate tariffarie assume per l’anno </w:t>
      </w:r>
      <w:r w:rsidRPr="00E66A69">
        <w:rPr>
          <w:rFonts w:ascii="Perpetua" w:hAnsi="Perpetua" w:cs="Times New Roman"/>
          <w:b/>
          <w:bCs/>
        </w:rPr>
        <w:t>2025</w:t>
      </w:r>
      <w:r w:rsidRPr="00E66A69">
        <w:rPr>
          <w:rFonts w:ascii="Perpetua" w:hAnsi="Perpetua" w:cs="Times New Roman"/>
        </w:rPr>
        <w:t xml:space="preserve"> il seguente valore: </w:t>
      </w:r>
    </w:p>
    <w:p w:rsidR="00D96F7D" w:rsidRPr="00E66A69" w:rsidRDefault="00D96F7D" w:rsidP="003C2C41">
      <w:pPr>
        <w:pStyle w:val="Default"/>
        <w:jc w:val="both"/>
        <w:rPr>
          <w:rFonts w:ascii="Perpetua" w:hAnsi="Perpetu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28"/>
        <w:gridCol w:w="2450"/>
      </w:tblGrid>
      <w:tr w:rsidR="00D96F7D" w:rsidRPr="00D96F7D" w:rsidTr="00D96F7D">
        <w:trPr>
          <w:trHeight w:val="402"/>
        </w:trPr>
        <w:tc>
          <w:tcPr>
            <w:tcW w:w="3747" w:type="pct"/>
            <w:shd w:val="clear" w:color="000000" w:fill="FFFFFF"/>
            <w:noWrap/>
            <w:vAlign w:val="bottom"/>
            <w:hideMark/>
          </w:tcPr>
          <w:p w:rsidR="00D96F7D" w:rsidRPr="00D96F7D" w:rsidRDefault="00D96F7D" w:rsidP="0078536B">
            <w:pPr>
              <w:jc w:val="center"/>
              <w:rPr>
                <w:rFonts w:ascii="Perpetua" w:hAnsi="Perpetua"/>
                <w:b/>
                <w:bCs/>
                <w:color w:val="C00000"/>
                <w:sz w:val="20"/>
                <w:szCs w:val="20"/>
              </w:rPr>
            </w:pPr>
            <w:r w:rsidRPr="00D96F7D">
              <w:rPr>
                <w:rFonts w:ascii="Perpetua" w:hAnsi="Perpetua"/>
                <w:b/>
                <w:bCs/>
                <w:color w:val="C00000"/>
                <w:sz w:val="20"/>
                <w:szCs w:val="20"/>
              </w:rPr>
              <w:t>Verifica del limite di crescita</w:t>
            </w:r>
          </w:p>
        </w:tc>
        <w:tc>
          <w:tcPr>
            <w:tcW w:w="1253" w:type="pct"/>
            <w:shd w:val="clear" w:color="000000" w:fill="FFFFFF"/>
            <w:noWrap/>
            <w:vAlign w:val="bottom"/>
            <w:hideMark/>
          </w:tcPr>
          <w:p w:rsidR="00D96F7D" w:rsidRPr="00D96F7D" w:rsidRDefault="00D96F7D" w:rsidP="0078536B">
            <w:pPr>
              <w:jc w:val="center"/>
              <w:rPr>
                <w:rFonts w:ascii="Perpetua" w:hAnsi="Perpetua"/>
                <w:color w:val="000000"/>
                <w:sz w:val="20"/>
                <w:szCs w:val="20"/>
              </w:rPr>
            </w:pPr>
          </w:p>
        </w:tc>
      </w:tr>
      <w:tr w:rsidR="00D96F7D" w:rsidRPr="00D96F7D" w:rsidTr="00D96F7D">
        <w:trPr>
          <w:trHeight w:val="402"/>
        </w:trPr>
        <w:tc>
          <w:tcPr>
            <w:tcW w:w="3747" w:type="pct"/>
            <w:shd w:val="clear" w:color="000000" w:fill="FFFFCC"/>
            <w:noWrap/>
            <w:vAlign w:val="center"/>
            <w:hideMark/>
          </w:tcPr>
          <w:p w:rsidR="00D96F7D" w:rsidRPr="00D96F7D" w:rsidRDefault="00D96F7D" w:rsidP="0078536B">
            <w:pPr>
              <w:jc w:val="center"/>
              <w:rPr>
                <w:rFonts w:ascii="Perpetua" w:hAnsi="Perpetua"/>
                <w:i/>
                <w:iCs/>
                <w:color w:val="000000"/>
                <w:sz w:val="20"/>
                <w:szCs w:val="20"/>
              </w:rPr>
            </w:pPr>
            <w:proofErr w:type="spellStart"/>
            <w:r w:rsidRPr="00D96F7D">
              <w:rPr>
                <w:rFonts w:ascii="Perpetua" w:hAnsi="Perpetua"/>
                <w:i/>
                <w:iCs/>
                <w:color w:val="000000"/>
                <w:sz w:val="20"/>
                <w:szCs w:val="20"/>
              </w:rPr>
              <w:t>rpi</w:t>
            </w:r>
            <w:r w:rsidRPr="00D96F7D">
              <w:rPr>
                <w:rFonts w:ascii="Perpetua" w:hAnsi="Perpetua"/>
                <w:i/>
                <w:iCs/>
                <w:color w:val="000000"/>
                <w:sz w:val="20"/>
                <w:szCs w:val="20"/>
                <w:vertAlign w:val="subscript"/>
              </w:rPr>
              <w:t>a</w:t>
            </w:r>
            <w:proofErr w:type="spellEnd"/>
          </w:p>
        </w:tc>
        <w:tc>
          <w:tcPr>
            <w:tcW w:w="1253" w:type="pct"/>
            <w:shd w:val="clear" w:color="000000" w:fill="FFFFCC"/>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2,7%</w:t>
            </w:r>
          </w:p>
        </w:tc>
      </w:tr>
      <w:tr w:rsidR="00D96F7D" w:rsidRPr="00D96F7D" w:rsidTr="00D96F7D">
        <w:trPr>
          <w:trHeight w:val="402"/>
        </w:trPr>
        <w:tc>
          <w:tcPr>
            <w:tcW w:w="3747"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coefficiente di recupero di produttività   </w:t>
            </w:r>
            <w:proofErr w:type="spellStart"/>
            <w:r w:rsidRPr="00D96F7D">
              <w:rPr>
                <w:rFonts w:ascii="Perpetua" w:hAnsi="Perpetua"/>
                <w:b/>
                <w:bCs/>
                <w:i/>
                <w:iCs/>
                <w:color w:val="000000"/>
                <w:sz w:val="20"/>
                <w:szCs w:val="20"/>
              </w:rPr>
              <w:t>X</w:t>
            </w:r>
            <w:r w:rsidRPr="00D96F7D">
              <w:rPr>
                <w:rFonts w:ascii="Perpetua" w:hAnsi="Perpetua"/>
                <w:i/>
                <w:iCs/>
                <w:color w:val="000000"/>
                <w:sz w:val="20"/>
                <w:szCs w:val="20"/>
                <w:vertAlign w:val="subscript"/>
              </w:rPr>
              <w:t>a</w:t>
            </w:r>
            <w:proofErr w:type="spellEnd"/>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0,11%</w:t>
            </w:r>
          </w:p>
        </w:tc>
      </w:tr>
      <w:tr w:rsidR="00D96F7D" w:rsidRPr="00D96F7D" w:rsidTr="00D96F7D">
        <w:trPr>
          <w:trHeight w:val="402"/>
        </w:trPr>
        <w:tc>
          <w:tcPr>
            <w:tcW w:w="3747"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il miglioramento previsto della qualità </w:t>
            </w:r>
            <w:r w:rsidRPr="00D96F7D">
              <w:rPr>
                <w:rFonts w:ascii="Perpetua" w:hAnsi="Perpetua"/>
                <w:b/>
                <w:bCs/>
                <w:color w:val="000000"/>
                <w:sz w:val="20"/>
                <w:szCs w:val="20"/>
              </w:rPr>
              <w:t xml:space="preserve">  </w:t>
            </w:r>
            <w:proofErr w:type="spellStart"/>
            <w:r w:rsidRPr="00D96F7D">
              <w:rPr>
                <w:rFonts w:ascii="Perpetua" w:hAnsi="Perpetua"/>
                <w:b/>
                <w:bCs/>
                <w:i/>
                <w:iCs/>
                <w:color w:val="000000"/>
                <w:sz w:val="20"/>
                <w:szCs w:val="20"/>
              </w:rPr>
              <w:t>QL</w:t>
            </w:r>
            <w:r w:rsidRPr="00D96F7D">
              <w:rPr>
                <w:rFonts w:ascii="Perpetua" w:hAnsi="Perpetua"/>
                <w:b/>
                <w:bCs/>
                <w:i/>
                <w:iCs/>
                <w:color w:val="000000"/>
                <w:sz w:val="20"/>
                <w:szCs w:val="20"/>
                <w:vertAlign w:val="subscript"/>
              </w:rPr>
              <w:t>a</w:t>
            </w:r>
            <w:proofErr w:type="spellEnd"/>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7"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la valorizzazione di modifiche del perimetro gestionale   </w:t>
            </w:r>
            <w:proofErr w:type="spellStart"/>
            <w:r w:rsidRPr="00D96F7D">
              <w:rPr>
                <w:rFonts w:ascii="Perpetua" w:hAnsi="Perpetua"/>
                <w:b/>
                <w:bCs/>
                <w:i/>
                <w:iCs/>
                <w:color w:val="000000"/>
                <w:sz w:val="20"/>
                <w:szCs w:val="20"/>
              </w:rPr>
              <w:t>PG</w:t>
            </w:r>
            <w:r w:rsidRPr="00D96F7D">
              <w:rPr>
                <w:rFonts w:ascii="Perpetua" w:hAnsi="Perpetua"/>
                <w:b/>
                <w:bCs/>
                <w:i/>
                <w:iCs/>
                <w:color w:val="000000"/>
                <w:sz w:val="20"/>
                <w:szCs w:val="20"/>
                <w:vertAlign w:val="subscript"/>
              </w:rPr>
              <w:t>a</w:t>
            </w:r>
            <w:proofErr w:type="spellEnd"/>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7" w:type="pct"/>
            <w:shd w:val="clear" w:color="000000" w:fill="FFFFFF"/>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color w:val="000000"/>
                <w:sz w:val="20"/>
                <w:szCs w:val="20"/>
              </w:rPr>
              <w:t xml:space="preserve">coeff. per decreto legislativo n. 116/20   </w:t>
            </w:r>
            <w:r w:rsidRPr="00D96F7D">
              <w:rPr>
                <w:rFonts w:ascii="Perpetua" w:hAnsi="Perpetua"/>
                <w:b/>
                <w:bCs/>
                <w:i/>
                <w:iCs/>
                <w:color w:val="000000"/>
                <w:sz w:val="20"/>
                <w:szCs w:val="20"/>
              </w:rPr>
              <w:t>C</w:t>
            </w:r>
            <w:r w:rsidRPr="00D96F7D">
              <w:rPr>
                <w:rFonts w:ascii="Perpetua" w:hAnsi="Perpetua"/>
                <w:b/>
                <w:bCs/>
                <w:i/>
                <w:iCs/>
                <w:sz w:val="20"/>
                <w:szCs w:val="20"/>
                <w:vertAlign w:val="subscript"/>
              </w:rPr>
              <w:t>116</w:t>
            </w:r>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0,00%</w:t>
            </w:r>
          </w:p>
        </w:tc>
      </w:tr>
      <w:tr w:rsidR="00D96F7D" w:rsidRPr="00D96F7D" w:rsidTr="00D96F7D">
        <w:trPr>
          <w:trHeight w:val="402"/>
        </w:trPr>
        <w:tc>
          <w:tcPr>
            <w:tcW w:w="3747" w:type="pct"/>
            <w:shd w:val="clear" w:color="000000" w:fill="FFFFFF"/>
            <w:noWrap/>
            <w:vAlign w:val="center"/>
            <w:hideMark/>
          </w:tcPr>
          <w:p w:rsidR="00D96F7D" w:rsidRPr="00D96F7D" w:rsidRDefault="00D96F7D" w:rsidP="0078536B">
            <w:pPr>
              <w:jc w:val="center"/>
              <w:rPr>
                <w:rFonts w:ascii="Perpetua" w:hAnsi="Perpetua"/>
                <w:sz w:val="20"/>
                <w:szCs w:val="20"/>
              </w:rPr>
            </w:pPr>
            <w:r w:rsidRPr="00D96F7D">
              <w:rPr>
                <w:rFonts w:ascii="Perpetua" w:hAnsi="Perpetua"/>
                <w:sz w:val="20"/>
                <w:szCs w:val="20"/>
              </w:rPr>
              <w:t xml:space="preserve">coeff. per recupero inflazione </w:t>
            </w:r>
            <w:proofErr w:type="spellStart"/>
            <w:r w:rsidRPr="00D96F7D">
              <w:rPr>
                <w:rFonts w:ascii="Perpetua" w:hAnsi="Perpetua"/>
                <w:b/>
                <w:bCs/>
                <w:i/>
                <w:iCs/>
                <w:sz w:val="20"/>
                <w:szCs w:val="20"/>
              </w:rPr>
              <w:t>CRI</w:t>
            </w:r>
            <w:r w:rsidRPr="00D96F7D">
              <w:rPr>
                <w:rFonts w:ascii="Perpetua" w:hAnsi="Perpetua"/>
                <w:b/>
                <w:bCs/>
                <w:i/>
                <w:iCs/>
                <w:sz w:val="20"/>
                <w:szCs w:val="20"/>
                <w:vertAlign w:val="subscript"/>
              </w:rPr>
              <w:t>a</w:t>
            </w:r>
            <w:proofErr w:type="spellEnd"/>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7,00%</w:t>
            </w:r>
          </w:p>
        </w:tc>
      </w:tr>
      <w:tr w:rsidR="00D96F7D" w:rsidRPr="00D96F7D" w:rsidTr="00D96F7D">
        <w:trPr>
          <w:trHeight w:val="402"/>
        </w:trPr>
        <w:tc>
          <w:tcPr>
            <w:tcW w:w="3747" w:type="pct"/>
            <w:shd w:val="clear" w:color="000000" w:fill="0070C0"/>
            <w:noWrap/>
            <w:vAlign w:val="center"/>
            <w:hideMark/>
          </w:tcPr>
          <w:p w:rsidR="00D96F7D" w:rsidRPr="00D96F7D" w:rsidRDefault="00D96F7D" w:rsidP="0078536B">
            <w:pPr>
              <w:jc w:val="center"/>
              <w:rPr>
                <w:rFonts w:ascii="Perpetua" w:hAnsi="Perpetua"/>
                <w:b/>
                <w:bCs/>
                <w:color w:val="FFFFFF"/>
                <w:sz w:val="20"/>
                <w:szCs w:val="20"/>
              </w:rPr>
            </w:pPr>
            <w:r w:rsidRPr="00D96F7D">
              <w:rPr>
                <w:rFonts w:ascii="Perpetua" w:hAnsi="Perpetua"/>
                <w:b/>
                <w:bCs/>
                <w:color w:val="FFFFFF"/>
                <w:sz w:val="20"/>
                <w:szCs w:val="20"/>
              </w:rPr>
              <w:t xml:space="preserve">Parametro per la determinazione del limite alla crescita delle tariffe </w:t>
            </w:r>
            <w:r w:rsidRPr="00D96F7D">
              <w:rPr>
                <w:rFonts w:ascii="Cambria" w:hAnsi="Cambria" w:cs="Cambria"/>
                <w:b/>
                <w:bCs/>
                <w:i/>
                <w:iCs/>
                <w:color w:val="FFFFFF"/>
                <w:sz w:val="20"/>
                <w:szCs w:val="20"/>
              </w:rPr>
              <w:t>ρ</w:t>
            </w:r>
          </w:p>
        </w:tc>
        <w:tc>
          <w:tcPr>
            <w:tcW w:w="1253" w:type="pct"/>
            <w:shd w:val="clear" w:color="000000" w:fill="0070C0"/>
            <w:noWrap/>
            <w:hideMark/>
          </w:tcPr>
          <w:p w:rsidR="00D96F7D" w:rsidRPr="00DA29A6" w:rsidRDefault="00D96F7D" w:rsidP="0078536B">
            <w:pPr>
              <w:jc w:val="center"/>
              <w:rPr>
                <w:rFonts w:ascii="Perpetua" w:hAnsi="Perpetua"/>
                <w:b/>
                <w:bCs/>
                <w:color w:val="FFFFFF" w:themeColor="background1"/>
                <w:sz w:val="20"/>
                <w:szCs w:val="20"/>
              </w:rPr>
            </w:pPr>
            <w:r w:rsidRPr="00DA29A6">
              <w:rPr>
                <w:rFonts w:ascii="Perpetua" w:hAnsi="Perpetua"/>
                <w:color w:val="FFFFFF" w:themeColor="background1"/>
                <w:sz w:val="20"/>
                <w:szCs w:val="20"/>
              </w:rPr>
              <w:t>9,59%</w:t>
            </w:r>
          </w:p>
        </w:tc>
      </w:tr>
      <w:tr w:rsidR="00D96F7D" w:rsidRPr="00D96F7D" w:rsidTr="00D96F7D">
        <w:trPr>
          <w:trHeight w:val="235"/>
        </w:trPr>
        <w:tc>
          <w:tcPr>
            <w:tcW w:w="3747" w:type="pct"/>
            <w:shd w:val="clear" w:color="000000" w:fill="0070C0"/>
            <w:noWrap/>
            <w:vAlign w:val="center"/>
            <w:hideMark/>
          </w:tcPr>
          <w:p w:rsidR="00D96F7D" w:rsidRPr="00D96F7D" w:rsidRDefault="00D96F7D" w:rsidP="0078536B">
            <w:pPr>
              <w:jc w:val="center"/>
              <w:rPr>
                <w:rFonts w:ascii="Perpetua" w:hAnsi="Perpetua"/>
                <w:b/>
                <w:bCs/>
                <w:i/>
                <w:iCs/>
                <w:color w:val="FFFFFF"/>
                <w:sz w:val="20"/>
                <w:szCs w:val="20"/>
              </w:rPr>
            </w:pPr>
            <w:r w:rsidRPr="00D96F7D">
              <w:rPr>
                <w:rFonts w:ascii="Perpetua" w:hAnsi="Perpetua"/>
                <w:b/>
                <w:bCs/>
                <w:i/>
                <w:iCs/>
                <w:color w:val="FFFFFF"/>
                <w:sz w:val="20"/>
                <w:szCs w:val="20"/>
              </w:rPr>
              <w:t>(1+</w:t>
            </w:r>
            <w:r w:rsidRPr="00D96F7D">
              <w:rPr>
                <w:rFonts w:ascii="Cambria" w:hAnsi="Cambria" w:cs="Cambria"/>
                <w:b/>
                <w:bCs/>
                <w:i/>
                <w:iCs/>
                <w:color w:val="FFFFFF"/>
                <w:sz w:val="20"/>
                <w:szCs w:val="20"/>
              </w:rPr>
              <w:t>ρ</w:t>
            </w:r>
            <w:r w:rsidRPr="00D96F7D">
              <w:rPr>
                <w:rFonts w:ascii="Perpetua" w:hAnsi="Perpetua"/>
                <w:b/>
                <w:bCs/>
                <w:i/>
                <w:iCs/>
                <w:color w:val="FFFFFF"/>
                <w:sz w:val="20"/>
                <w:szCs w:val="20"/>
              </w:rPr>
              <w:t>)</w:t>
            </w:r>
          </w:p>
        </w:tc>
        <w:tc>
          <w:tcPr>
            <w:tcW w:w="1253" w:type="pct"/>
            <w:shd w:val="clear" w:color="000000" w:fill="0070C0"/>
            <w:noWrap/>
            <w:hideMark/>
          </w:tcPr>
          <w:p w:rsidR="00D96F7D" w:rsidRPr="00DA29A6" w:rsidRDefault="00D96F7D" w:rsidP="0078536B">
            <w:pPr>
              <w:jc w:val="center"/>
              <w:rPr>
                <w:rFonts w:ascii="Perpetua" w:hAnsi="Perpetua"/>
                <w:b/>
                <w:bCs/>
                <w:color w:val="FFFFFF" w:themeColor="background1"/>
                <w:sz w:val="20"/>
                <w:szCs w:val="20"/>
              </w:rPr>
            </w:pPr>
            <w:r w:rsidRPr="00DA29A6">
              <w:rPr>
                <w:rFonts w:ascii="Perpetua" w:hAnsi="Perpetua"/>
                <w:color w:val="FFFFFF" w:themeColor="background1"/>
                <w:sz w:val="20"/>
                <w:szCs w:val="20"/>
              </w:rPr>
              <w:t xml:space="preserve"> 1,0959 </w:t>
            </w:r>
          </w:p>
        </w:tc>
      </w:tr>
      <w:tr w:rsidR="00D96F7D" w:rsidRPr="00D96F7D" w:rsidTr="00D96F7D">
        <w:trPr>
          <w:trHeight w:val="402"/>
        </w:trPr>
        <w:tc>
          <w:tcPr>
            <w:tcW w:w="3747" w:type="pct"/>
            <w:shd w:val="clear" w:color="000000" w:fill="0070C0"/>
            <w:noWrap/>
            <w:vAlign w:val="center"/>
            <w:hideMark/>
          </w:tcPr>
          <w:p w:rsidR="00D96F7D" w:rsidRPr="00D96F7D" w:rsidRDefault="00D96F7D" w:rsidP="0078536B">
            <w:pPr>
              <w:jc w:val="center"/>
              <w:rPr>
                <w:rFonts w:ascii="Perpetua" w:hAnsi="Perpetua"/>
                <w:color w:val="FFFFFF"/>
                <w:sz w:val="20"/>
                <w:szCs w:val="20"/>
              </w:rPr>
            </w:pPr>
            <w:r w:rsidRPr="00D96F7D">
              <w:rPr>
                <w:rFonts w:ascii="Perpetua" w:hAnsi="Perpetua"/>
                <w:i/>
                <w:iCs/>
                <w:color w:val="FFFFFF"/>
                <w:sz w:val="20"/>
                <w:szCs w:val="20"/>
              </w:rPr>
              <w:t>∑T</w:t>
            </w:r>
            <w:r w:rsidRPr="00D96F7D">
              <w:rPr>
                <w:rFonts w:ascii="Perpetua" w:hAnsi="Perpetua"/>
                <w:i/>
                <w:iCs/>
                <w:color w:val="FFFFFF"/>
                <w:sz w:val="20"/>
                <w:szCs w:val="20"/>
                <w:vertAlign w:val="subscript"/>
              </w:rPr>
              <w:t>a</w:t>
            </w:r>
          </w:p>
        </w:tc>
        <w:tc>
          <w:tcPr>
            <w:tcW w:w="1253" w:type="pct"/>
            <w:shd w:val="clear" w:color="000000" w:fill="0070C0"/>
            <w:noWrap/>
            <w:hideMark/>
          </w:tcPr>
          <w:p w:rsidR="00D96F7D" w:rsidRPr="00DA29A6" w:rsidRDefault="00D96F7D" w:rsidP="0078536B">
            <w:pPr>
              <w:jc w:val="center"/>
              <w:rPr>
                <w:rFonts w:ascii="Perpetua" w:hAnsi="Perpetua"/>
                <w:b/>
                <w:bCs/>
                <w:color w:val="FFFFFF" w:themeColor="background1"/>
                <w:sz w:val="20"/>
                <w:szCs w:val="20"/>
              </w:rPr>
            </w:pPr>
            <w:r w:rsidRPr="00DA29A6">
              <w:rPr>
                <w:rFonts w:ascii="Perpetua" w:hAnsi="Perpetua"/>
                <w:color w:val="FFFFFF" w:themeColor="background1"/>
                <w:sz w:val="20"/>
                <w:szCs w:val="20"/>
              </w:rPr>
              <w:t xml:space="preserve"> 3.085.340 </w:t>
            </w:r>
          </w:p>
        </w:tc>
      </w:tr>
      <w:tr w:rsidR="00D96F7D" w:rsidRPr="00D96F7D" w:rsidTr="00D96F7D">
        <w:trPr>
          <w:trHeight w:val="402"/>
        </w:trPr>
        <w:tc>
          <w:tcPr>
            <w:tcW w:w="3747" w:type="pct"/>
            <w:shd w:val="clear" w:color="000000" w:fill="F2F2F2"/>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i/>
                <w:iCs/>
                <w:color w:val="000000"/>
                <w:sz w:val="20"/>
                <w:szCs w:val="20"/>
              </w:rPr>
              <w:t>∑TV</w:t>
            </w:r>
            <w:r w:rsidRPr="00D96F7D">
              <w:rPr>
                <w:rFonts w:ascii="Perpetua" w:hAnsi="Perpetua"/>
                <w:i/>
                <w:iCs/>
                <w:color w:val="000000"/>
                <w:sz w:val="20"/>
                <w:szCs w:val="20"/>
                <w:vertAlign w:val="subscript"/>
              </w:rPr>
              <w:t>a-1</w:t>
            </w:r>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 xml:space="preserve"> 1.847.591   </w:t>
            </w:r>
          </w:p>
        </w:tc>
      </w:tr>
      <w:tr w:rsidR="00D96F7D" w:rsidRPr="00D96F7D" w:rsidTr="00D96F7D">
        <w:trPr>
          <w:trHeight w:val="402"/>
        </w:trPr>
        <w:tc>
          <w:tcPr>
            <w:tcW w:w="3747" w:type="pct"/>
            <w:shd w:val="clear" w:color="000000" w:fill="F2F2F2"/>
            <w:noWrap/>
            <w:vAlign w:val="center"/>
            <w:hideMark/>
          </w:tcPr>
          <w:p w:rsidR="00D96F7D" w:rsidRPr="00D96F7D" w:rsidRDefault="00D96F7D" w:rsidP="0078536B">
            <w:pPr>
              <w:jc w:val="center"/>
              <w:rPr>
                <w:rFonts w:ascii="Perpetua" w:hAnsi="Perpetua"/>
                <w:color w:val="000000"/>
                <w:sz w:val="20"/>
                <w:szCs w:val="20"/>
              </w:rPr>
            </w:pPr>
            <w:r w:rsidRPr="00D96F7D">
              <w:rPr>
                <w:rFonts w:ascii="Perpetua" w:hAnsi="Perpetua"/>
                <w:i/>
                <w:iCs/>
                <w:color w:val="000000"/>
                <w:sz w:val="20"/>
                <w:szCs w:val="20"/>
              </w:rPr>
              <w:t>∑TF</w:t>
            </w:r>
            <w:r w:rsidRPr="00D96F7D">
              <w:rPr>
                <w:rFonts w:ascii="Perpetua" w:hAnsi="Perpetua"/>
                <w:i/>
                <w:iCs/>
                <w:color w:val="000000"/>
                <w:sz w:val="20"/>
                <w:szCs w:val="20"/>
                <w:vertAlign w:val="subscript"/>
              </w:rPr>
              <w:t>a-1</w:t>
            </w:r>
          </w:p>
        </w:tc>
        <w:tc>
          <w:tcPr>
            <w:tcW w:w="1253" w:type="pct"/>
            <w:shd w:val="clear" w:color="000000" w:fill="FFFFFF"/>
            <w:noWrap/>
            <w:hideMark/>
          </w:tcPr>
          <w:p w:rsidR="00D96F7D" w:rsidRPr="00D96F7D" w:rsidRDefault="00D96F7D" w:rsidP="0078536B">
            <w:pPr>
              <w:jc w:val="center"/>
              <w:rPr>
                <w:rFonts w:ascii="Perpetua" w:hAnsi="Perpetua"/>
                <w:color w:val="FF0000"/>
                <w:sz w:val="20"/>
                <w:szCs w:val="20"/>
              </w:rPr>
            </w:pPr>
            <w:r w:rsidRPr="00D96F7D">
              <w:rPr>
                <w:rFonts w:ascii="Perpetua" w:hAnsi="Perpetua"/>
                <w:sz w:val="20"/>
                <w:szCs w:val="20"/>
              </w:rPr>
              <w:t xml:space="preserve"> 1.010.670   </w:t>
            </w:r>
          </w:p>
        </w:tc>
      </w:tr>
      <w:tr w:rsidR="00D96F7D" w:rsidRPr="00D96F7D" w:rsidTr="00D96F7D">
        <w:trPr>
          <w:trHeight w:val="402"/>
        </w:trPr>
        <w:tc>
          <w:tcPr>
            <w:tcW w:w="3747" w:type="pct"/>
            <w:shd w:val="clear" w:color="000000" w:fill="0070C0"/>
            <w:noWrap/>
            <w:vAlign w:val="center"/>
            <w:hideMark/>
          </w:tcPr>
          <w:p w:rsidR="00D96F7D" w:rsidRPr="00D96F7D" w:rsidRDefault="00D96F7D" w:rsidP="0078536B">
            <w:pPr>
              <w:jc w:val="center"/>
              <w:rPr>
                <w:rFonts w:ascii="Perpetua" w:hAnsi="Perpetua"/>
                <w:color w:val="FFFFFF"/>
                <w:sz w:val="20"/>
                <w:szCs w:val="20"/>
              </w:rPr>
            </w:pPr>
            <w:r w:rsidRPr="00D96F7D">
              <w:rPr>
                <w:rFonts w:ascii="Perpetua" w:hAnsi="Perpetua"/>
                <w:i/>
                <w:iCs/>
                <w:color w:val="FFFFFF"/>
                <w:sz w:val="20"/>
                <w:szCs w:val="20"/>
              </w:rPr>
              <w:t>∑T</w:t>
            </w:r>
            <w:r w:rsidRPr="00D96F7D">
              <w:rPr>
                <w:rFonts w:ascii="Perpetua" w:hAnsi="Perpetua"/>
                <w:i/>
                <w:iCs/>
                <w:color w:val="FFFFFF"/>
                <w:sz w:val="20"/>
                <w:szCs w:val="20"/>
                <w:vertAlign w:val="subscript"/>
              </w:rPr>
              <w:t>a-1</w:t>
            </w:r>
          </w:p>
        </w:tc>
        <w:tc>
          <w:tcPr>
            <w:tcW w:w="1253" w:type="pct"/>
            <w:shd w:val="clear" w:color="000000" w:fill="0070C0"/>
            <w:noWrap/>
            <w:hideMark/>
          </w:tcPr>
          <w:p w:rsidR="00D96F7D" w:rsidRPr="00DA29A6" w:rsidRDefault="00D96F7D" w:rsidP="0078536B">
            <w:pPr>
              <w:jc w:val="center"/>
              <w:rPr>
                <w:rFonts w:ascii="Perpetua" w:hAnsi="Perpetua"/>
                <w:b/>
                <w:bCs/>
                <w:color w:val="FFFFFF" w:themeColor="background1"/>
                <w:sz w:val="20"/>
                <w:szCs w:val="20"/>
              </w:rPr>
            </w:pPr>
            <w:r w:rsidRPr="00DA29A6">
              <w:rPr>
                <w:rFonts w:ascii="Perpetua" w:hAnsi="Perpetua"/>
                <w:color w:val="FFFFFF" w:themeColor="background1"/>
                <w:sz w:val="20"/>
                <w:szCs w:val="20"/>
              </w:rPr>
              <w:t xml:space="preserve"> 2.858.260   </w:t>
            </w:r>
          </w:p>
        </w:tc>
      </w:tr>
      <w:tr w:rsidR="00D96F7D" w:rsidRPr="00D96F7D" w:rsidTr="00D96F7D">
        <w:trPr>
          <w:trHeight w:val="402"/>
        </w:trPr>
        <w:tc>
          <w:tcPr>
            <w:tcW w:w="3747" w:type="pct"/>
            <w:shd w:val="clear" w:color="000000" w:fill="0070C0"/>
            <w:noWrap/>
            <w:vAlign w:val="center"/>
            <w:hideMark/>
          </w:tcPr>
          <w:p w:rsidR="00D96F7D" w:rsidRPr="00D96F7D" w:rsidRDefault="00D96F7D" w:rsidP="0078536B">
            <w:pPr>
              <w:jc w:val="center"/>
              <w:rPr>
                <w:rFonts w:ascii="Perpetua" w:hAnsi="Perpetua"/>
                <w:b/>
                <w:bCs/>
                <w:color w:val="FFFFFF"/>
                <w:sz w:val="20"/>
                <w:szCs w:val="20"/>
              </w:rPr>
            </w:pPr>
            <w:r w:rsidRPr="00D96F7D">
              <w:rPr>
                <w:rFonts w:ascii="Perpetua" w:hAnsi="Perpetua"/>
                <w:b/>
                <w:bCs/>
                <w:i/>
                <w:iCs/>
                <w:color w:val="FFFFFF"/>
                <w:sz w:val="20"/>
                <w:szCs w:val="20"/>
              </w:rPr>
              <w:lastRenderedPageBreak/>
              <w:t>∑T</w:t>
            </w:r>
            <w:r w:rsidRPr="00D96F7D">
              <w:rPr>
                <w:rFonts w:ascii="Perpetua" w:hAnsi="Perpetua"/>
                <w:b/>
                <w:bCs/>
                <w:i/>
                <w:iCs/>
                <w:color w:val="FFFFFF"/>
                <w:sz w:val="20"/>
                <w:szCs w:val="20"/>
                <w:vertAlign w:val="subscript"/>
              </w:rPr>
              <w:t>a</w:t>
            </w:r>
            <w:r w:rsidRPr="00D96F7D">
              <w:rPr>
                <w:rFonts w:ascii="Perpetua" w:hAnsi="Perpetua"/>
                <w:b/>
                <w:bCs/>
                <w:i/>
                <w:iCs/>
                <w:color w:val="FFFFFF"/>
                <w:sz w:val="20"/>
                <w:szCs w:val="20"/>
              </w:rPr>
              <w:t>/ ∑T</w:t>
            </w:r>
            <w:r w:rsidRPr="00D96F7D">
              <w:rPr>
                <w:rFonts w:ascii="Perpetua" w:hAnsi="Perpetua"/>
                <w:b/>
                <w:bCs/>
                <w:i/>
                <w:iCs/>
                <w:color w:val="FFFFFF"/>
                <w:sz w:val="20"/>
                <w:szCs w:val="20"/>
                <w:vertAlign w:val="subscript"/>
              </w:rPr>
              <w:t>a-1</w:t>
            </w:r>
          </w:p>
        </w:tc>
        <w:tc>
          <w:tcPr>
            <w:tcW w:w="1253" w:type="pct"/>
            <w:shd w:val="clear" w:color="000000" w:fill="0070C0"/>
            <w:noWrap/>
            <w:hideMark/>
          </w:tcPr>
          <w:p w:rsidR="00D96F7D" w:rsidRPr="00DA29A6" w:rsidRDefault="00D96F7D" w:rsidP="0078536B">
            <w:pPr>
              <w:jc w:val="center"/>
              <w:rPr>
                <w:rFonts w:ascii="Perpetua" w:hAnsi="Perpetua"/>
                <w:b/>
                <w:bCs/>
                <w:color w:val="FFFFFF" w:themeColor="background1"/>
                <w:sz w:val="20"/>
                <w:szCs w:val="20"/>
              </w:rPr>
            </w:pPr>
            <w:r w:rsidRPr="00DA29A6">
              <w:rPr>
                <w:rFonts w:ascii="Perpetua" w:hAnsi="Perpetua"/>
                <w:color w:val="FFFFFF" w:themeColor="background1"/>
                <w:sz w:val="20"/>
                <w:szCs w:val="20"/>
              </w:rPr>
              <w:t xml:space="preserve"> 1,0794   </w:t>
            </w:r>
          </w:p>
        </w:tc>
      </w:tr>
      <w:tr w:rsidR="00D96F7D" w:rsidRPr="00D96F7D" w:rsidTr="00D96F7D">
        <w:trPr>
          <w:trHeight w:val="402"/>
        </w:trPr>
        <w:tc>
          <w:tcPr>
            <w:tcW w:w="5000" w:type="pct"/>
            <w:gridSpan w:val="2"/>
            <w:shd w:val="clear" w:color="000000" w:fill="0070C0"/>
            <w:noWrap/>
            <w:vAlign w:val="center"/>
          </w:tcPr>
          <w:p w:rsidR="00D96F7D" w:rsidRPr="00D96F7D" w:rsidRDefault="00D96F7D" w:rsidP="0078536B">
            <w:pPr>
              <w:jc w:val="center"/>
              <w:rPr>
                <w:rFonts w:ascii="Perpetua" w:hAnsi="Perpetua"/>
                <w:b/>
                <w:bCs/>
                <w:color w:val="FFFFFF"/>
                <w:sz w:val="20"/>
                <w:szCs w:val="20"/>
              </w:rPr>
            </w:pPr>
            <w:r w:rsidRPr="00D96F7D">
              <w:rPr>
                <w:rFonts w:ascii="Perpetua" w:hAnsi="Perpetua"/>
                <w:b/>
                <w:bCs/>
                <w:color w:val="FFFFFF"/>
                <w:sz w:val="20"/>
                <w:szCs w:val="20"/>
              </w:rPr>
              <w:t>1,0794&lt; 1,0959</w:t>
            </w:r>
          </w:p>
        </w:tc>
      </w:tr>
    </w:tbl>
    <w:p w:rsidR="00FE3B36" w:rsidRDefault="00FE3B36" w:rsidP="003C2C41">
      <w:pPr>
        <w:pStyle w:val="Default"/>
        <w:jc w:val="both"/>
        <w:rPr>
          <w:rFonts w:ascii="Times New Roman" w:hAnsi="Times New Roman" w:cs="Times New Roman"/>
        </w:rPr>
      </w:pPr>
    </w:p>
    <w:p w:rsidR="005F5BA6" w:rsidRPr="00E66A69" w:rsidRDefault="00B50628" w:rsidP="006B602D">
      <w:pPr>
        <w:spacing w:before="57" w:after="57" w:line="276" w:lineRule="auto"/>
        <w:jc w:val="both"/>
        <w:rPr>
          <w:rFonts w:ascii="Perpetua" w:hAnsi="Perpetua" w:cs="Times New Roman"/>
        </w:rPr>
      </w:pPr>
      <w:r w:rsidRPr="00E66A69">
        <w:rPr>
          <w:rFonts w:ascii="Perpetua" w:hAnsi="Perpetua" w:cs="Times New Roman"/>
          <w:b/>
          <w:bCs/>
        </w:rPr>
        <w:t>T</w:t>
      </w:r>
      <w:r w:rsidR="001C6BCC" w:rsidRPr="00E66A69">
        <w:rPr>
          <w:rFonts w:ascii="Perpetua" w:hAnsi="Perpetua" w:cs="Times New Roman"/>
          <w:b/>
          <w:bCs/>
        </w:rPr>
        <w:t>enuto conto</w:t>
      </w:r>
      <w:r w:rsidRPr="00E66A69">
        <w:rPr>
          <w:rFonts w:ascii="Perpetua" w:hAnsi="Perpetua" w:cs="Times New Roman"/>
          <w:b/>
          <w:bCs/>
        </w:rPr>
        <w:t xml:space="preserve"> </w:t>
      </w:r>
      <w:r w:rsidRPr="00E66A69">
        <w:rPr>
          <w:rFonts w:ascii="Perpetua" w:hAnsi="Perpetua" w:cs="Times New Roman"/>
        </w:rPr>
        <w:t xml:space="preserve">infine delle seguenti ulteriori detrazioni </w:t>
      </w:r>
      <w:r w:rsidRPr="00E66A69">
        <w:rPr>
          <w:rFonts w:ascii="Perpetua" w:hAnsi="Perpetua" w:cs="Times New Roman"/>
          <w:i/>
          <w:iCs/>
        </w:rPr>
        <w:t xml:space="preserve">ex </w:t>
      </w:r>
      <w:r w:rsidRPr="00E66A69">
        <w:rPr>
          <w:rFonts w:ascii="Perpetua" w:hAnsi="Perpetua" w:cs="Times New Roman"/>
        </w:rPr>
        <w:t xml:space="preserve">comma 1.4 della determinazione </w:t>
      </w:r>
      <w:r w:rsidR="00391C71">
        <w:rPr>
          <w:rFonts w:ascii="Perpetua" w:hAnsi="Perpetua" w:cs="Times New Roman"/>
        </w:rPr>
        <w:t>n</w:t>
      </w:r>
      <w:r w:rsidRPr="00E66A69">
        <w:rPr>
          <w:rFonts w:ascii="Perpetua" w:hAnsi="Perpetua" w:cs="Times New Roman"/>
        </w:rPr>
        <w:t>. 1/DTAC/2023 in ragione delle entrate comunicate dal Comune:</w:t>
      </w:r>
    </w:p>
    <w:tbl>
      <w:tblPr>
        <w:tblW w:w="9882" w:type="dxa"/>
        <w:tblCellMar>
          <w:left w:w="70" w:type="dxa"/>
          <w:right w:w="70" w:type="dxa"/>
        </w:tblCellMar>
        <w:tblLook w:val="04A0"/>
      </w:tblPr>
      <w:tblGrid>
        <w:gridCol w:w="6588"/>
        <w:gridCol w:w="1647"/>
        <w:gridCol w:w="1647"/>
      </w:tblGrid>
      <w:tr w:rsidR="003C2C41" w:rsidRPr="00E66A69" w:rsidTr="000A7B67">
        <w:trPr>
          <w:trHeight w:val="600"/>
        </w:trPr>
        <w:tc>
          <w:tcPr>
            <w:tcW w:w="6588" w:type="dxa"/>
            <w:tcBorders>
              <w:top w:val="nil"/>
              <w:left w:val="nil"/>
              <w:bottom w:val="nil"/>
              <w:right w:val="nil"/>
            </w:tcBorders>
            <w:shd w:val="clear" w:color="000000" w:fill="FFFFFF"/>
            <w:noWrap/>
            <w:vAlign w:val="bottom"/>
            <w:hideMark/>
          </w:tcPr>
          <w:p w:rsidR="003C2C41" w:rsidRPr="00E66A69" w:rsidRDefault="003C2C41" w:rsidP="00D337C4">
            <w:pPr>
              <w:rPr>
                <w:rFonts w:ascii="Perpetua" w:hAnsi="Perpetua" w:cs="Calibri"/>
                <w:color w:val="000000"/>
                <w:sz w:val="20"/>
                <w:szCs w:val="20"/>
              </w:rPr>
            </w:pPr>
            <w:r w:rsidRPr="00E66A69">
              <w:rPr>
                <w:rFonts w:ascii="Perpetua" w:hAnsi="Perpetua" w:cs="Calibri"/>
                <w:color w:val="000000"/>
                <w:sz w:val="20"/>
                <w:szCs w:val="20"/>
              </w:rPr>
              <w:t> </w:t>
            </w:r>
          </w:p>
        </w:tc>
        <w:tc>
          <w:tcPr>
            <w:tcW w:w="1647" w:type="dxa"/>
            <w:tcBorders>
              <w:top w:val="single" w:sz="4" w:space="0" w:color="808080"/>
              <w:left w:val="single" w:sz="4" w:space="0" w:color="808080"/>
              <w:bottom w:val="single" w:sz="4" w:space="0" w:color="808080"/>
              <w:right w:val="single" w:sz="4" w:space="0" w:color="808080"/>
            </w:tcBorders>
            <w:shd w:val="clear" w:color="000000" w:fill="FFC000"/>
            <w:noWrap/>
            <w:vAlign w:val="center"/>
            <w:hideMark/>
          </w:tcPr>
          <w:p w:rsidR="003C2C41" w:rsidRPr="00E66A69" w:rsidRDefault="003C2C41" w:rsidP="00D337C4">
            <w:pPr>
              <w:jc w:val="center"/>
              <w:rPr>
                <w:rFonts w:ascii="Perpetua" w:hAnsi="Perpetua" w:cs="Calibri"/>
                <w:b/>
                <w:bCs/>
                <w:color w:val="000000"/>
                <w:sz w:val="20"/>
                <w:szCs w:val="20"/>
              </w:rPr>
            </w:pPr>
            <w:r w:rsidRPr="00E66A69">
              <w:rPr>
                <w:rFonts w:ascii="Perpetua" w:hAnsi="Perpetua" w:cs="Calibri"/>
                <w:b/>
                <w:bCs/>
                <w:color w:val="000000"/>
                <w:sz w:val="20"/>
                <w:szCs w:val="20"/>
              </w:rPr>
              <w:t>2024</w:t>
            </w:r>
          </w:p>
        </w:tc>
        <w:tc>
          <w:tcPr>
            <w:tcW w:w="1647" w:type="dxa"/>
            <w:tcBorders>
              <w:top w:val="single" w:sz="4" w:space="0" w:color="808080"/>
              <w:left w:val="nil"/>
              <w:bottom w:val="single" w:sz="4" w:space="0" w:color="808080"/>
              <w:right w:val="single" w:sz="4" w:space="0" w:color="808080"/>
            </w:tcBorders>
            <w:shd w:val="clear" w:color="000000" w:fill="FFC000"/>
            <w:noWrap/>
            <w:vAlign w:val="center"/>
            <w:hideMark/>
          </w:tcPr>
          <w:p w:rsidR="003C2C41" w:rsidRPr="00E66A69" w:rsidRDefault="003C2C41" w:rsidP="00D337C4">
            <w:pPr>
              <w:jc w:val="center"/>
              <w:rPr>
                <w:rFonts w:ascii="Perpetua" w:hAnsi="Perpetua" w:cs="Calibri"/>
                <w:b/>
                <w:bCs/>
                <w:color w:val="000000"/>
                <w:sz w:val="20"/>
                <w:szCs w:val="20"/>
              </w:rPr>
            </w:pPr>
            <w:r w:rsidRPr="00E66A69">
              <w:rPr>
                <w:rFonts w:ascii="Perpetua" w:hAnsi="Perpetua" w:cs="Calibri"/>
                <w:b/>
                <w:bCs/>
                <w:color w:val="000000"/>
                <w:sz w:val="20"/>
                <w:szCs w:val="20"/>
              </w:rPr>
              <w:t>2025</w:t>
            </w:r>
          </w:p>
        </w:tc>
      </w:tr>
      <w:tr w:rsidR="003C2C41" w:rsidRPr="00E66A69" w:rsidTr="000A7B67">
        <w:trPr>
          <w:trHeight w:val="400"/>
        </w:trPr>
        <w:tc>
          <w:tcPr>
            <w:tcW w:w="6588" w:type="dxa"/>
            <w:tcBorders>
              <w:top w:val="single" w:sz="4" w:space="0" w:color="808080"/>
              <w:left w:val="single" w:sz="4" w:space="0" w:color="808080"/>
              <w:bottom w:val="single" w:sz="4" w:space="0" w:color="808080"/>
              <w:right w:val="nil"/>
            </w:tcBorders>
            <w:shd w:val="clear" w:color="000000" w:fill="E7E6E6"/>
            <w:vAlign w:val="center"/>
            <w:hideMark/>
          </w:tcPr>
          <w:p w:rsidR="003C2C41" w:rsidRPr="00E66A69" w:rsidRDefault="003C2C41" w:rsidP="00D337C4">
            <w:pPr>
              <w:rPr>
                <w:rFonts w:ascii="Perpetua" w:hAnsi="Perpetua" w:cs="Calibri"/>
                <w:color w:val="000000"/>
                <w:sz w:val="20"/>
                <w:szCs w:val="20"/>
              </w:rPr>
            </w:pPr>
            <w:r w:rsidRPr="00E66A69">
              <w:rPr>
                <w:rFonts w:ascii="Perpetua" w:hAnsi="Perpetua" w:cs="Calibri"/>
                <w:color w:val="000000"/>
                <w:sz w:val="20"/>
                <w:szCs w:val="20"/>
              </w:rPr>
              <w:t>Detrazioni come da Det. 2/DRIF/2021 comma 1.4 - PARTE VARIABILE</w:t>
            </w:r>
          </w:p>
        </w:tc>
        <w:tc>
          <w:tcPr>
            <w:tcW w:w="1647" w:type="dxa"/>
            <w:tcBorders>
              <w:top w:val="nil"/>
              <w:left w:val="single" w:sz="4" w:space="0" w:color="808080"/>
              <w:bottom w:val="single" w:sz="4" w:space="0" w:color="808080"/>
              <w:right w:val="single" w:sz="4" w:space="0" w:color="808080"/>
            </w:tcBorders>
            <w:shd w:val="clear" w:color="000000" w:fill="FFFFFF"/>
            <w:noWrap/>
            <w:vAlign w:val="center"/>
            <w:hideMark/>
          </w:tcPr>
          <w:p w:rsidR="003C2C41" w:rsidRPr="00DA29A6" w:rsidRDefault="00DA29A6" w:rsidP="00D337C4">
            <w:pPr>
              <w:jc w:val="right"/>
              <w:rPr>
                <w:rFonts w:ascii="Perpetua" w:hAnsi="Perpetua" w:cs="Calibri"/>
                <w:color w:val="000000"/>
                <w:sz w:val="20"/>
                <w:szCs w:val="20"/>
              </w:rPr>
            </w:pPr>
            <w:r w:rsidRPr="00DA29A6">
              <w:rPr>
                <w:rFonts w:ascii="Perpetua" w:hAnsi="Perpetua" w:cs="Calibri"/>
                <w:color w:val="000000"/>
                <w:sz w:val="20"/>
                <w:szCs w:val="20"/>
              </w:rPr>
              <w:t>0,00</w:t>
            </w:r>
          </w:p>
        </w:tc>
        <w:tc>
          <w:tcPr>
            <w:tcW w:w="1647" w:type="dxa"/>
            <w:tcBorders>
              <w:top w:val="nil"/>
              <w:left w:val="nil"/>
              <w:bottom w:val="single" w:sz="4" w:space="0" w:color="808080"/>
              <w:right w:val="single" w:sz="4" w:space="0" w:color="808080"/>
            </w:tcBorders>
            <w:shd w:val="clear" w:color="000000" w:fill="FFFFFF"/>
            <w:noWrap/>
            <w:vAlign w:val="center"/>
            <w:hideMark/>
          </w:tcPr>
          <w:p w:rsidR="003C2C41" w:rsidRPr="00DA29A6" w:rsidRDefault="00DA29A6" w:rsidP="00D337C4">
            <w:pPr>
              <w:jc w:val="right"/>
              <w:rPr>
                <w:rFonts w:ascii="Perpetua" w:hAnsi="Perpetua" w:cs="Calibri"/>
                <w:color w:val="000000"/>
                <w:sz w:val="20"/>
                <w:szCs w:val="20"/>
              </w:rPr>
            </w:pPr>
            <w:r>
              <w:rPr>
                <w:rFonts w:ascii="Perpetua" w:hAnsi="Perpetua" w:cs="Calibri"/>
                <w:color w:val="000000"/>
                <w:sz w:val="20"/>
                <w:szCs w:val="20"/>
              </w:rPr>
              <w:t>0,00</w:t>
            </w:r>
          </w:p>
        </w:tc>
      </w:tr>
      <w:tr w:rsidR="003C2C41" w:rsidRPr="00E66A69" w:rsidTr="000A7B67">
        <w:trPr>
          <w:trHeight w:val="400"/>
        </w:trPr>
        <w:tc>
          <w:tcPr>
            <w:tcW w:w="6588" w:type="dxa"/>
            <w:tcBorders>
              <w:top w:val="nil"/>
              <w:left w:val="single" w:sz="4" w:space="0" w:color="808080"/>
              <w:bottom w:val="single" w:sz="4" w:space="0" w:color="808080"/>
              <w:right w:val="nil"/>
            </w:tcBorders>
            <w:shd w:val="clear" w:color="000000" w:fill="E7E6E6"/>
            <w:vAlign w:val="center"/>
            <w:hideMark/>
          </w:tcPr>
          <w:p w:rsidR="003C2C41" w:rsidRPr="00E66A69" w:rsidRDefault="003C2C41" w:rsidP="00D337C4">
            <w:pPr>
              <w:rPr>
                <w:rFonts w:ascii="Perpetua" w:hAnsi="Perpetua" w:cs="Calibri"/>
                <w:color w:val="000000"/>
                <w:sz w:val="20"/>
                <w:szCs w:val="20"/>
              </w:rPr>
            </w:pPr>
            <w:r w:rsidRPr="00E66A69">
              <w:rPr>
                <w:rFonts w:ascii="Perpetua" w:hAnsi="Perpetua" w:cs="Calibri"/>
                <w:color w:val="000000"/>
                <w:sz w:val="20"/>
                <w:szCs w:val="20"/>
              </w:rPr>
              <w:t>Detrazioni come da Det. 2/DRIF/2021 comma 1.4  - PARTE FISSA</w:t>
            </w:r>
          </w:p>
        </w:tc>
        <w:tc>
          <w:tcPr>
            <w:tcW w:w="1647" w:type="dxa"/>
            <w:tcBorders>
              <w:top w:val="nil"/>
              <w:left w:val="single" w:sz="4" w:space="0" w:color="808080"/>
              <w:bottom w:val="single" w:sz="4" w:space="0" w:color="808080"/>
              <w:right w:val="single" w:sz="4" w:space="0" w:color="808080"/>
            </w:tcBorders>
            <w:shd w:val="clear" w:color="000000" w:fill="FFFFFF"/>
            <w:noWrap/>
            <w:vAlign w:val="center"/>
            <w:hideMark/>
          </w:tcPr>
          <w:p w:rsidR="003C2C41" w:rsidRPr="00E66A69" w:rsidRDefault="003C2C41" w:rsidP="00D337C4">
            <w:pPr>
              <w:jc w:val="right"/>
              <w:rPr>
                <w:rFonts w:ascii="Perpetua" w:hAnsi="Perpetua" w:cs="Calibri"/>
                <w:color w:val="000000"/>
                <w:sz w:val="20"/>
                <w:szCs w:val="20"/>
              </w:rPr>
            </w:pPr>
            <w:r w:rsidRPr="00E66A69">
              <w:rPr>
                <w:rFonts w:ascii="Perpetua" w:hAnsi="Perpetua" w:cs="Calibri"/>
                <w:color w:val="000000"/>
                <w:sz w:val="20"/>
                <w:szCs w:val="20"/>
              </w:rPr>
              <w:t xml:space="preserve">  </w:t>
            </w:r>
          </w:p>
        </w:tc>
        <w:tc>
          <w:tcPr>
            <w:tcW w:w="1647" w:type="dxa"/>
            <w:tcBorders>
              <w:top w:val="nil"/>
              <w:left w:val="nil"/>
              <w:bottom w:val="single" w:sz="4" w:space="0" w:color="808080"/>
              <w:right w:val="single" w:sz="4" w:space="0" w:color="808080"/>
            </w:tcBorders>
            <w:shd w:val="clear" w:color="000000" w:fill="FFFFFF"/>
            <w:noWrap/>
            <w:vAlign w:val="center"/>
            <w:hideMark/>
          </w:tcPr>
          <w:p w:rsidR="003C2C41" w:rsidRPr="00E66A69" w:rsidRDefault="003C2C41" w:rsidP="00D337C4">
            <w:pPr>
              <w:jc w:val="right"/>
              <w:rPr>
                <w:rFonts w:ascii="Perpetua" w:hAnsi="Perpetua" w:cs="Calibri"/>
                <w:color w:val="000000"/>
                <w:sz w:val="20"/>
                <w:szCs w:val="20"/>
              </w:rPr>
            </w:pPr>
          </w:p>
        </w:tc>
      </w:tr>
      <w:tr w:rsidR="00A52157" w:rsidRPr="00E66A69" w:rsidTr="000A7B67">
        <w:trPr>
          <w:trHeight w:val="400"/>
        </w:trPr>
        <w:tc>
          <w:tcPr>
            <w:tcW w:w="6588" w:type="dxa"/>
            <w:tcBorders>
              <w:top w:val="nil"/>
              <w:left w:val="single" w:sz="4" w:space="0" w:color="808080"/>
              <w:bottom w:val="single" w:sz="4" w:space="0" w:color="808080"/>
              <w:right w:val="nil"/>
            </w:tcBorders>
            <w:shd w:val="clear" w:color="000000" w:fill="E7E6E6"/>
            <w:vAlign w:val="center"/>
            <w:hideMark/>
          </w:tcPr>
          <w:p w:rsidR="00A52157" w:rsidRPr="00E66A69" w:rsidRDefault="00A52157" w:rsidP="00A52157">
            <w:pPr>
              <w:rPr>
                <w:rFonts w:ascii="Perpetua" w:hAnsi="Perpetua" w:cs="Calibri"/>
                <w:color w:val="000000"/>
                <w:sz w:val="20"/>
                <w:szCs w:val="20"/>
              </w:rPr>
            </w:pPr>
            <w:r w:rsidRPr="00E66A69">
              <w:rPr>
                <w:rFonts w:ascii="Perpetua" w:hAnsi="Perpetua" w:cs="Calibri"/>
                <w:color w:val="000000"/>
                <w:sz w:val="20"/>
                <w:szCs w:val="20"/>
              </w:rPr>
              <w:t>Detrazioni come da Det. 2/DRIF/2021 comma 1.4 - TOTALE</w:t>
            </w:r>
          </w:p>
        </w:tc>
        <w:tc>
          <w:tcPr>
            <w:tcW w:w="1647" w:type="dxa"/>
            <w:tcBorders>
              <w:top w:val="nil"/>
              <w:left w:val="single" w:sz="4" w:space="0" w:color="808080"/>
              <w:bottom w:val="single" w:sz="4" w:space="0" w:color="808080"/>
              <w:right w:val="single" w:sz="4" w:space="0" w:color="808080"/>
            </w:tcBorders>
            <w:shd w:val="clear" w:color="000000" w:fill="E7E6E6"/>
            <w:noWrap/>
            <w:vAlign w:val="center"/>
            <w:hideMark/>
          </w:tcPr>
          <w:p w:rsidR="00A52157" w:rsidRPr="00E66A69" w:rsidRDefault="00DA29A6" w:rsidP="00A52157">
            <w:pPr>
              <w:jc w:val="right"/>
              <w:rPr>
                <w:rFonts w:ascii="Perpetua" w:hAnsi="Perpetua" w:cs="Calibri"/>
                <w:color w:val="000000"/>
                <w:sz w:val="20"/>
                <w:szCs w:val="20"/>
              </w:rPr>
            </w:pPr>
            <w:r>
              <w:rPr>
                <w:rFonts w:ascii="Perpetua" w:hAnsi="Perpetua" w:cs="Calibri"/>
                <w:color w:val="000000"/>
                <w:sz w:val="20"/>
                <w:szCs w:val="20"/>
              </w:rPr>
              <w:t>0,00</w:t>
            </w:r>
          </w:p>
        </w:tc>
        <w:tc>
          <w:tcPr>
            <w:tcW w:w="1647" w:type="dxa"/>
            <w:tcBorders>
              <w:top w:val="nil"/>
              <w:left w:val="nil"/>
              <w:bottom w:val="single" w:sz="4" w:space="0" w:color="808080"/>
              <w:right w:val="single" w:sz="4" w:space="0" w:color="808080"/>
            </w:tcBorders>
            <w:shd w:val="clear" w:color="000000" w:fill="E7E6E6"/>
            <w:noWrap/>
            <w:vAlign w:val="center"/>
            <w:hideMark/>
          </w:tcPr>
          <w:p w:rsidR="00A52157" w:rsidRPr="00E66A69" w:rsidRDefault="00DA29A6" w:rsidP="00A52157">
            <w:pPr>
              <w:jc w:val="right"/>
              <w:rPr>
                <w:rFonts w:ascii="Perpetua" w:hAnsi="Perpetua" w:cs="Calibri"/>
                <w:color w:val="000000"/>
                <w:sz w:val="20"/>
                <w:szCs w:val="20"/>
              </w:rPr>
            </w:pPr>
            <w:r>
              <w:rPr>
                <w:rFonts w:ascii="Perpetua" w:hAnsi="Perpetua" w:cs="Calibri"/>
                <w:color w:val="000000"/>
                <w:sz w:val="20"/>
                <w:szCs w:val="20"/>
              </w:rPr>
              <w:t>0,00</w:t>
            </w:r>
          </w:p>
        </w:tc>
      </w:tr>
    </w:tbl>
    <w:p w:rsidR="00F17853" w:rsidRDefault="00F17853" w:rsidP="006B602D">
      <w:pPr>
        <w:spacing w:before="57" w:after="57" w:line="276" w:lineRule="auto"/>
        <w:jc w:val="both"/>
        <w:rPr>
          <w:rFonts w:ascii="Times New Roman" w:hAnsi="Times New Roman" w:cs="Times New Roman"/>
        </w:rPr>
      </w:pPr>
    </w:p>
    <w:p w:rsidR="00B50628" w:rsidRPr="00E66A69" w:rsidRDefault="00B50628" w:rsidP="00E66A69">
      <w:pPr>
        <w:pStyle w:val="Default"/>
        <w:spacing w:line="360" w:lineRule="auto"/>
        <w:jc w:val="both"/>
        <w:rPr>
          <w:rFonts w:ascii="Perpetua" w:hAnsi="Perpetua" w:cs="Times New Roman"/>
        </w:rPr>
      </w:pPr>
      <w:r w:rsidRPr="00E66A69">
        <w:rPr>
          <w:rFonts w:ascii="Perpetua" w:hAnsi="Perpetua" w:cs="Times New Roman"/>
          <w:b/>
          <w:bCs/>
        </w:rPr>
        <w:t>D</w:t>
      </w:r>
      <w:r w:rsidR="001C6BCC" w:rsidRPr="00E66A69">
        <w:rPr>
          <w:rFonts w:ascii="Perpetua" w:hAnsi="Perpetua" w:cs="Times New Roman"/>
          <w:b/>
          <w:bCs/>
        </w:rPr>
        <w:t>ato conto</w:t>
      </w:r>
      <w:r w:rsidRPr="00E66A69">
        <w:rPr>
          <w:rFonts w:ascii="Perpetua" w:hAnsi="Perpetua" w:cs="Times New Roman"/>
          <w:b/>
          <w:bCs/>
        </w:rPr>
        <w:t xml:space="preserve"> che </w:t>
      </w:r>
    </w:p>
    <w:p w:rsidR="00B50628" w:rsidRPr="00E66A69" w:rsidRDefault="00B50628" w:rsidP="00E66A69">
      <w:pPr>
        <w:pStyle w:val="Default"/>
        <w:numPr>
          <w:ilvl w:val="0"/>
          <w:numId w:val="23"/>
        </w:numPr>
        <w:spacing w:line="360" w:lineRule="auto"/>
        <w:ind w:left="426"/>
        <w:jc w:val="both"/>
        <w:rPr>
          <w:rFonts w:ascii="Perpetua" w:hAnsi="Perpetua" w:cs="Times New Roman"/>
        </w:rPr>
      </w:pPr>
      <w:r w:rsidRPr="00E66A69">
        <w:rPr>
          <w:rFonts w:ascii="Perpetua" w:hAnsi="Perpetua" w:cs="Times New Roman"/>
        </w:rPr>
        <w:t>si è proceduto alla verifica della coerenza, della completezza e della congruità degli elementi di costo r</w:t>
      </w:r>
      <w:r w:rsidRPr="00E66A69">
        <w:rPr>
          <w:rFonts w:ascii="Perpetua" w:hAnsi="Perpetua" w:cs="Times New Roman"/>
        </w:rPr>
        <w:t>i</w:t>
      </w:r>
      <w:r w:rsidRPr="00E66A69">
        <w:rPr>
          <w:rFonts w:ascii="Perpetua" w:hAnsi="Perpetua" w:cs="Times New Roman"/>
        </w:rPr>
        <w:t>portati nel PEF 2024 -2025 rispetto alle scritture contabili obbligatorie trasmesse dal Gestore e dal C</w:t>
      </w:r>
      <w:r w:rsidRPr="00E66A69">
        <w:rPr>
          <w:rFonts w:ascii="Perpetua" w:hAnsi="Perpetua" w:cs="Times New Roman"/>
        </w:rPr>
        <w:t>o</w:t>
      </w:r>
      <w:r w:rsidRPr="00E66A69">
        <w:rPr>
          <w:rFonts w:ascii="Perpetua" w:hAnsi="Perpetua" w:cs="Times New Roman"/>
        </w:rPr>
        <w:t xml:space="preserve">mune; </w:t>
      </w:r>
    </w:p>
    <w:p w:rsidR="00B50628" w:rsidRPr="00E66A69" w:rsidRDefault="00B50628" w:rsidP="00E66A69">
      <w:pPr>
        <w:pStyle w:val="Default"/>
        <w:numPr>
          <w:ilvl w:val="0"/>
          <w:numId w:val="23"/>
        </w:numPr>
        <w:spacing w:line="360" w:lineRule="auto"/>
        <w:ind w:left="426"/>
        <w:jc w:val="both"/>
        <w:rPr>
          <w:rFonts w:ascii="Perpetua" w:hAnsi="Perpetua" w:cs="Times New Roman"/>
        </w:rPr>
      </w:pPr>
      <w:r w:rsidRPr="00E66A69">
        <w:rPr>
          <w:rFonts w:ascii="Perpetua" w:hAnsi="Perpetua" w:cs="Times New Roman"/>
        </w:rPr>
        <w:t>è stato verificato il rispetto della metodologia prevista dalla delibera 363/2021/R/RIF per la determin</w:t>
      </w:r>
      <w:r w:rsidRPr="00E66A69">
        <w:rPr>
          <w:rFonts w:ascii="Perpetua" w:hAnsi="Perpetua" w:cs="Times New Roman"/>
        </w:rPr>
        <w:t>a</w:t>
      </w:r>
      <w:r w:rsidRPr="00E66A69">
        <w:rPr>
          <w:rFonts w:ascii="Perpetua" w:hAnsi="Perpetua" w:cs="Times New Roman"/>
        </w:rPr>
        <w:t xml:space="preserve">zione dei costi riconosciuti; </w:t>
      </w:r>
    </w:p>
    <w:p w:rsidR="00B50628" w:rsidRPr="00E66A69" w:rsidRDefault="00B50628" w:rsidP="00E66A69">
      <w:pPr>
        <w:pStyle w:val="Default"/>
        <w:numPr>
          <w:ilvl w:val="0"/>
          <w:numId w:val="23"/>
        </w:numPr>
        <w:spacing w:line="360" w:lineRule="auto"/>
        <w:ind w:left="426"/>
        <w:jc w:val="both"/>
        <w:rPr>
          <w:rFonts w:ascii="Perpetua" w:hAnsi="Perpetua" w:cs="Times New Roman"/>
        </w:rPr>
      </w:pPr>
      <w:r w:rsidRPr="00E66A69">
        <w:rPr>
          <w:rFonts w:ascii="Perpetua" w:hAnsi="Perpetua" w:cs="Times New Roman"/>
        </w:rPr>
        <w:t>nell’ottica del rispetto dell’equilibrio economico finanziario del gestore, non è stata apportata alcuna int</w:t>
      </w:r>
      <w:r w:rsidRPr="00E66A69">
        <w:rPr>
          <w:rFonts w:ascii="Perpetua" w:hAnsi="Perpetua" w:cs="Times New Roman"/>
        </w:rPr>
        <w:t>e</w:t>
      </w:r>
      <w:r w:rsidRPr="00E66A69">
        <w:rPr>
          <w:rFonts w:ascii="Perpetua" w:hAnsi="Perpetua" w:cs="Times New Roman"/>
        </w:rPr>
        <w:t xml:space="preserve">grazione e modifica ai dati, alle informazioni e agli atti trasmessi dal gestore medesimo; </w:t>
      </w:r>
    </w:p>
    <w:p w:rsidR="00B50628" w:rsidRPr="00E66A69" w:rsidRDefault="00B50628" w:rsidP="00E66A69">
      <w:pPr>
        <w:spacing w:line="360" w:lineRule="auto"/>
        <w:jc w:val="both"/>
        <w:rPr>
          <w:rFonts w:ascii="Perpetua" w:hAnsi="Perpetua" w:cs="Times New Roman"/>
          <w:b/>
          <w:bCs/>
        </w:rPr>
      </w:pPr>
      <w:r w:rsidRPr="00E66A69">
        <w:rPr>
          <w:rFonts w:ascii="Perpetua" w:hAnsi="Perpetua" w:cs="Times New Roman"/>
          <w:b/>
          <w:bCs/>
        </w:rPr>
        <w:t>R</w:t>
      </w:r>
      <w:r w:rsidR="001C6BCC" w:rsidRPr="00E66A69">
        <w:rPr>
          <w:rFonts w:ascii="Perpetua" w:hAnsi="Perpetua" w:cs="Times New Roman"/>
          <w:b/>
          <w:bCs/>
        </w:rPr>
        <w:t>itenuto,</w:t>
      </w:r>
      <w:r w:rsidRPr="00E66A69">
        <w:rPr>
          <w:rFonts w:ascii="Perpetua" w:hAnsi="Perpetua" w:cs="Times New Roman"/>
          <w:b/>
          <w:bCs/>
        </w:rPr>
        <w:t xml:space="preserve"> </w:t>
      </w:r>
      <w:r w:rsidRPr="00E66A69">
        <w:rPr>
          <w:rFonts w:ascii="Perpetua" w:hAnsi="Perpetua" w:cs="Times New Roman"/>
        </w:rPr>
        <w:t xml:space="preserve">sulla base dei dati e delle informazioni ricevute dal Gestore e dal Comune ed in esito alle verifiche effettuate sulla completezza, coerenza e congruità dei dati e delle informazioni, di poter procedere alla validazione del PEF 2022-2025 del servizio integrato di gestione dei rifiuti relativo all’ambito tariffario relativo al </w:t>
      </w:r>
      <w:r w:rsidRPr="00E66A69">
        <w:rPr>
          <w:rFonts w:ascii="Perpetua" w:hAnsi="Perpetua" w:cs="Times New Roman"/>
          <w:b/>
          <w:bCs/>
        </w:rPr>
        <w:t xml:space="preserve">Comune di </w:t>
      </w:r>
      <w:r w:rsidR="00701D04">
        <w:rPr>
          <w:rFonts w:ascii="Perpetua" w:hAnsi="Perpetua" w:cs="Times New Roman"/>
          <w:b/>
          <w:bCs/>
        </w:rPr>
        <w:t>Terrasini</w:t>
      </w:r>
      <w:r w:rsidRPr="00E66A69">
        <w:rPr>
          <w:rFonts w:ascii="Perpetua" w:hAnsi="Perpetua" w:cs="Times New Roman"/>
        </w:rPr>
        <w:t xml:space="preserve"> predisposto secondo lo schema di cui all’Allegato </w:t>
      </w:r>
      <w:r w:rsidR="00604A8C" w:rsidRPr="00E66A69">
        <w:rPr>
          <w:rFonts w:ascii="Perpetua" w:hAnsi="Perpetua" w:cs="Times New Roman"/>
        </w:rPr>
        <w:t>1</w:t>
      </w:r>
      <w:r w:rsidRPr="00E66A69">
        <w:rPr>
          <w:rFonts w:ascii="Perpetua" w:hAnsi="Perpetua" w:cs="Times New Roman"/>
        </w:rPr>
        <w:t xml:space="preserve"> della determinazione N. 1/DTAC/2023 e posto in </w:t>
      </w:r>
      <w:r w:rsidRPr="00E66A69">
        <w:rPr>
          <w:rFonts w:ascii="Perpetua" w:hAnsi="Perpetua" w:cs="Times New Roman"/>
          <w:b/>
          <w:bCs/>
        </w:rPr>
        <w:t xml:space="preserve">Allegato A </w:t>
      </w:r>
      <w:r w:rsidRPr="00E66A69">
        <w:rPr>
          <w:rFonts w:ascii="Perpetua" w:hAnsi="Perpetua" w:cs="Times New Roman"/>
        </w:rPr>
        <w:t>al presente atto quale sua parte integrante e sostanziale;</w:t>
      </w:r>
    </w:p>
    <w:p w:rsidR="00B50628" w:rsidRPr="00E66A69" w:rsidRDefault="00B50628" w:rsidP="00E66A69">
      <w:pPr>
        <w:spacing w:line="360" w:lineRule="auto"/>
        <w:jc w:val="both"/>
        <w:rPr>
          <w:rFonts w:ascii="Perpetua" w:hAnsi="Perpetua" w:cs="Times New Roman"/>
        </w:rPr>
      </w:pPr>
      <w:r w:rsidRPr="00E66A69">
        <w:rPr>
          <w:rFonts w:ascii="Perpetua" w:hAnsi="Perpetua" w:cs="Times New Roman"/>
          <w:b/>
          <w:bCs/>
        </w:rPr>
        <w:t>D</w:t>
      </w:r>
      <w:r w:rsidR="001C6BCC" w:rsidRPr="00E66A69">
        <w:rPr>
          <w:rFonts w:ascii="Perpetua" w:hAnsi="Perpetua" w:cs="Times New Roman"/>
          <w:b/>
          <w:bCs/>
        </w:rPr>
        <w:t>ato atto</w:t>
      </w:r>
      <w:r w:rsidRPr="00E66A69">
        <w:rPr>
          <w:rFonts w:ascii="Perpetua" w:hAnsi="Perpetua" w:cs="Times New Roman"/>
          <w:b/>
          <w:bCs/>
        </w:rPr>
        <w:t xml:space="preserve"> </w:t>
      </w:r>
      <w:r w:rsidRPr="00E66A69">
        <w:rPr>
          <w:rFonts w:ascii="Perpetua" w:hAnsi="Perpetua" w:cs="Times New Roman"/>
        </w:rPr>
        <w:t>che per l’ambito tariffario in esame questo ETC ha provveduto alla predisposizione della relazione di accompagnamento secondo lo schema tipo di cui all’Allegato 2 della determinazione N.2/DRIF/2021</w:t>
      </w:r>
      <w:r w:rsidR="00604A8C" w:rsidRPr="00E66A69">
        <w:rPr>
          <w:rFonts w:ascii="Perpetua" w:hAnsi="Perpetua" w:cs="Times New Roman"/>
        </w:rPr>
        <w:t>;</w:t>
      </w:r>
    </w:p>
    <w:p w:rsidR="00604A8C" w:rsidRPr="00E66A69" w:rsidRDefault="00604A8C" w:rsidP="00E66A69">
      <w:pPr>
        <w:spacing w:line="360" w:lineRule="auto"/>
        <w:jc w:val="both"/>
        <w:rPr>
          <w:rFonts w:ascii="Perpetua" w:hAnsi="Perpetua" w:cs="Times New Roman"/>
        </w:rPr>
      </w:pPr>
      <w:r w:rsidRPr="00E66A69">
        <w:rPr>
          <w:rFonts w:ascii="Perpetua" w:hAnsi="Perpetua" w:cs="Times New Roman"/>
          <w:b/>
          <w:bCs/>
        </w:rPr>
        <w:t>V</w:t>
      </w:r>
      <w:r w:rsidR="001C6BCC" w:rsidRPr="00E66A69">
        <w:rPr>
          <w:rFonts w:ascii="Perpetua" w:hAnsi="Perpetua" w:cs="Times New Roman"/>
          <w:b/>
          <w:bCs/>
        </w:rPr>
        <w:t>isto</w:t>
      </w:r>
      <w:r w:rsidRPr="00E66A69">
        <w:rPr>
          <w:rFonts w:ascii="Perpetua" w:hAnsi="Perpetua" w:cs="Times New Roman"/>
          <w:b/>
          <w:bCs/>
        </w:rPr>
        <w:t xml:space="preserve"> </w:t>
      </w:r>
      <w:r w:rsidRPr="00E66A69">
        <w:rPr>
          <w:rFonts w:ascii="Perpetua" w:hAnsi="Perpetua" w:cs="Times New Roman"/>
        </w:rPr>
        <w:t>l’art. 1 della determinazione N. 1/DTAC/2023 per quanto riguarda la trasmissione ad ARERA degli atti, dei dati e della documentazione di competenza di questo ETC ai fini dell’approvazione definitiva del PEF 2024-2025 e le specifiche istruzioni operative per il loro caricamento sul sito di ARERA stessa;</w:t>
      </w:r>
    </w:p>
    <w:p w:rsidR="003C2C41" w:rsidRDefault="003C2C41" w:rsidP="00E66A69">
      <w:pPr>
        <w:spacing w:line="360" w:lineRule="auto"/>
        <w:jc w:val="both"/>
        <w:rPr>
          <w:rFonts w:ascii="Perpetua" w:hAnsi="Perpetua" w:cs="Times New Roman"/>
        </w:rPr>
      </w:pPr>
      <w:r w:rsidRPr="00E66A69">
        <w:rPr>
          <w:rFonts w:ascii="Perpetua" w:hAnsi="Perpetua" w:cs="Times New Roman"/>
          <w:b/>
          <w:bCs/>
        </w:rPr>
        <w:t xml:space="preserve">Tenuto conto </w:t>
      </w:r>
      <w:r w:rsidRPr="00E66A69">
        <w:rPr>
          <w:rFonts w:ascii="Perpetua" w:hAnsi="Perpetua" w:cs="Times New Roman"/>
        </w:rPr>
        <w:t>della Relazione di accompagnamento (Allegato 2 della determinazione ARERA n.1/DTAC/2023)</w:t>
      </w:r>
      <w:r w:rsidR="00347761">
        <w:rPr>
          <w:rFonts w:ascii="Perpetua" w:hAnsi="Perpetua" w:cs="Times New Roman"/>
        </w:rPr>
        <w:t>;</w:t>
      </w:r>
    </w:p>
    <w:p w:rsidR="00347761" w:rsidRPr="00E66A69" w:rsidRDefault="00347761" w:rsidP="00E66A69">
      <w:pPr>
        <w:spacing w:line="360" w:lineRule="auto"/>
        <w:jc w:val="both"/>
        <w:rPr>
          <w:rFonts w:ascii="Perpetua" w:hAnsi="Perpetua" w:cs="Times New Roman"/>
          <w:b/>
          <w:bCs/>
        </w:rPr>
      </w:pPr>
    </w:p>
    <w:p w:rsidR="00766B5B" w:rsidRPr="00E66A69" w:rsidRDefault="00766B5B" w:rsidP="00E66A69">
      <w:pPr>
        <w:pStyle w:val="Default"/>
        <w:spacing w:line="360" w:lineRule="auto"/>
        <w:jc w:val="center"/>
        <w:rPr>
          <w:rFonts w:ascii="Perpetua" w:hAnsi="Perpetua" w:cs="Times New Roman"/>
          <w:b/>
          <w:bCs/>
        </w:rPr>
      </w:pPr>
      <w:r w:rsidRPr="00E66A69">
        <w:rPr>
          <w:rFonts w:ascii="Perpetua" w:hAnsi="Perpetua" w:cs="Times New Roman"/>
          <w:b/>
          <w:bCs/>
        </w:rPr>
        <w:t>DETERMINA</w:t>
      </w:r>
    </w:p>
    <w:p w:rsidR="00766B5B" w:rsidRPr="00E66A69" w:rsidRDefault="00766B5B" w:rsidP="00E66A69">
      <w:pPr>
        <w:pStyle w:val="Default"/>
        <w:spacing w:line="360" w:lineRule="auto"/>
        <w:jc w:val="both"/>
        <w:rPr>
          <w:rFonts w:ascii="Perpetua" w:hAnsi="Perpetua" w:cs="Times New Roman"/>
        </w:rPr>
      </w:pPr>
      <w:r w:rsidRPr="00E66A69">
        <w:rPr>
          <w:rFonts w:ascii="Perpetua" w:hAnsi="Perpetua" w:cs="Times New Roman"/>
        </w:rPr>
        <w:lastRenderedPageBreak/>
        <w:t xml:space="preserve">1) </w:t>
      </w:r>
      <w:r w:rsidR="008F0173">
        <w:rPr>
          <w:rFonts w:ascii="Perpetua" w:hAnsi="Perpetua" w:cs="Times New Roman"/>
        </w:rPr>
        <w:t>d</w:t>
      </w:r>
      <w:r w:rsidRPr="00E66A69">
        <w:rPr>
          <w:rFonts w:ascii="Perpetua" w:hAnsi="Perpetua" w:cs="Times New Roman"/>
        </w:rPr>
        <w:t xml:space="preserve">i validare i dati forniti dal Comune di </w:t>
      </w:r>
      <w:r w:rsidR="00701D04">
        <w:rPr>
          <w:rFonts w:ascii="Perpetua" w:hAnsi="Perpetua" w:cs="Times New Roman"/>
        </w:rPr>
        <w:t>Terrasini</w:t>
      </w:r>
      <w:r w:rsidRPr="00E66A69">
        <w:rPr>
          <w:rFonts w:ascii="Perpetua" w:hAnsi="Perpetua" w:cs="Times New Roman"/>
        </w:rPr>
        <w:t xml:space="preserve"> relativamente al PEF grezzo Gestore </w:t>
      </w:r>
      <w:r w:rsidR="00701D04">
        <w:rPr>
          <w:rFonts w:ascii="Perpetua" w:hAnsi="Perpetua" w:cs="Times New Roman"/>
          <w:b/>
          <w:bCs/>
        </w:rPr>
        <w:t>ECONORD</w:t>
      </w:r>
      <w:r w:rsidRPr="00E66A69">
        <w:rPr>
          <w:rFonts w:ascii="Perpetua" w:hAnsi="Perpetua" w:cs="Times New Roman"/>
          <w:b/>
          <w:bCs/>
        </w:rPr>
        <w:t xml:space="preserve"> S.p.A. </w:t>
      </w:r>
      <w:r w:rsidRPr="00E66A69">
        <w:rPr>
          <w:rFonts w:ascii="Perpetua" w:hAnsi="Perpetua" w:cs="Times New Roman"/>
        </w:rPr>
        <w:t xml:space="preserve">e al PEF grezzo del </w:t>
      </w:r>
      <w:r w:rsidRPr="00E66A69">
        <w:rPr>
          <w:rFonts w:ascii="Perpetua" w:hAnsi="Perpetua" w:cs="Times New Roman"/>
          <w:b/>
          <w:bCs/>
        </w:rPr>
        <w:t xml:space="preserve">Comune di </w:t>
      </w:r>
      <w:r w:rsidR="00701D04">
        <w:rPr>
          <w:rFonts w:ascii="Perpetua" w:hAnsi="Perpetua" w:cs="Times New Roman"/>
          <w:b/>
          <w:bCs/>
        </w:rPr>
        <w:t>Terrasini</w:t>
      </w:r>
      <w:r w:rsidRPr="00E66A69">
        <w:rPr>
          <w:rFonts w:ascii="Perpetua" w:hAnsi="Perpetua" w:cs="Times New Roman"/>
          <w:b/>
          <w:bCs/>
        </w:rPr>
        <w:t xml:space="preserve">, </w:t>
      </w:r>
      <w:r w:rsidRPr="00E66A69">
        <w:rPr>
          <w:rFonts w:ascii="Perpetua" w:hAnsi="Perpetua" w:cs="Times New Roman"/>
        </w:rPr>
        <w:t>in applicazione del Metodo Tariffario Rifiuti relativo al secondo p</w:t>
      </w:r>
      <w:r w:rsidRPr="00E66A69">
        <w:rPr>
          <w:rFonts w:ascii="Perpetua" w:hAnsi="Perpetua" w:cs="Times New Roman"/>
        </w:rPr>
        <w:t>e</w:t>
      </w:r>
      <w:r w:rsidRPr="00E66A69">
        <w:rPr>
          <w:rFonts w:ascii="Perpetua" w:hAnsi="Perpetua" w:cs="Times New Roman"/>
        </w:rPr>
        <w:t xml:space="preserve">riodo tariffario (MTR-2) di cui all’Allegato A della deliberazione dell’Autorità di Regolazione per Energia, Reti e Ambiente (ARERA) 363/2021/R/RIF e dei successivi atti: deliberazioni </w:t>
      </w:r>
      <w:r w:rsidR="008F0173">
        <w:rPr>
          <w:rFonts w:ascii="Perpetua" w:hAnsi="Perpetua" w:cs="Times New Roman"/>
        </w:rPr>
        <w:t xml:space="preserve">n. </w:t>
      </w:r>
      <w:r w:rsidRPr="00E66A69">
        <w:rPr>
          <w:rFonts w:ascii="Perpetua" w:hAnsi="Perpetua" w:cs="Times New Roman"/>
        </w:rPr>
        <w:t>359/2023/R/RIF e determin</w:t>
      </w:r>
      <w:r w:rsidRPr="00E66A69">
        <w:rPr>
          <w:rFonts w:ascii="Perpetua" w:hAnsi="Perpetua" w:cs="Times New Roman"/>
        </w:rPr>
        <w:t>a</w:t>
      </w:r>
      <w:r w:rsidRPr="00E66A69">
        <w:rPr>
          <w:rFonts w:ascii="Perpetua" w:hAnsi="Perpetua" w:cs="Times New Roman"/>
        </w:rPr>
        <w:t xml:space="preserve">zione </w:t>
      </w:r>
      <w:r w:rsidR="008F0173">
        <w:rPr>
          <w:rFonts w:ascii="Perpetua" w:hAnsi="Perpetua" w:cs="Times New Roman"/>
        </w:rPr>
        <w:t>n</w:t>
      </w:r>
      <w:r w:rsidRPr="00E66A69">
        <w:rPr>
          <w:rFonts w:ascii="Perpetua" w:hAnsi="Perpetua" w:cs="Times New Roman"/>
        </w:rPr>
        <w:t>. 1/DTAC/2023;</w:t>
      </w:r>
    </w:p>
    <w:p w:rsidR="00766B5B" w:rsidRPr="00E66A69" w:rsidRDefault="00766B5B" w:rsidP="00E66A69">
      <w:pPr>
        <w:pStyle w:val="Default"/>
        <w:spacing w:line="360" w:lineRule="auto"/>
        <w:jc w:val="both"/>
        <w:rPr>
          <w:rFonts w:ascii="Perpetua" w:hAnsi="Perpetua" w:cs="Times New Roman"/>
        </w:rPr>
      </w:pPr>
      <w:r w:rsidRPr="00E66A69">
        <w:rPr>
          <w:rFonts w:ascii="Perpetua" w:hAnsi="Perpetua" w:cs="Times New Roman"/>
        </w:rPr>
        <w:t xml:space="preserve">2) </w:t>
      </w:r>
      <w:r w:rsidR="008F0173">
        <w:rPr>
          <w:rFonts w:ascii="Perpetua" w:hAnsi="Perpetua" w:cs="Times New Roman"/>
        </w:rPr>
        <w:t>d</w:t>
      </w:r>
      <w:r w:rsidRPr="00E66A69">
        <w:rPr>
          <w:rFonts w:ascii="Perpetua" w:hAnsi="Perpetua" w:cs="Times New Roman"/>
        </w:rPr>
        <w:t>i dare atto che la validazione risulta a seguito delle verifiche effettuate sulla coerenza, completezza e co</w:t>
      </w:r>
      <w:r w:rsidRPr="00E66A69">
        <w:rPr>
          <w:rFonts w:ascii="Perpetua" w:hAnsi="Perpetua" w:cs="Times New Roman"/>
        </w:rPr>
        <w:t>n</w:t>
      </w:r>
      <w:r w:rsidRPr="00E66A69">
        <w:rPr>
          <w:rFonts w:ascii="Perpetua" w:hAnsi="Perpetua" w:cs="Times New Roman"/>
        </w:rPr>
        <w:t>gruità degli elementi di costo riportati nel PEF rispetto alle scritture contabili obbligatorie trasmesse dal Gest</w:t>
      </w:r>
      <w:r w:rsidRPr="00E66A69">
        <w:rPr>
          <w:rFonts w:ascii="Perpetua" w:hAnsi="Perpetua" w:cs="Times New Roman"/>
        </w:rPr>
        <w:t>o</w:t>
      </w:r>
      <w:r w:rsidRPr="00E66A69">
        <w:rPr>
          <w:rFonts w:ascii="Perpetua" w:hAnsi="Perpetua" w:cs="Times New Roman"/>
        </w:rPr>
        <w:t>re e dal Comune e della verifica del rispetto della metodologia prevista dalla delibera</w:t>
      </w:r>
      <w:r w:rsidR="008F0173">
        <w:rPr>
          <w:rFonts w:ascii="Perpetua" w:hAnsi="Perpetua" w:cs="Times New Roman"/>
        </w:rPr>
        <w:t>zione</w:t>
      </w:r>
      <w:r w:rsidRPr="00E66A69">
        <w:rPr>
          <w:rFonts w:ascii="Perpetua" w:hAnsi="Perpetua" w:cs="Times New Roman"/>
        </w:rPr>
        <w:t xml:space="preserve"> </w:t>
      </w:r>
      <w:r w:rsidR="008F0173">
        <w:rPr>
          <w:rFonts w:ascii="Perpetua" w:hAnsi="Perpetua" w:cs="Times New Roman"/>
        </w:rPr>
        <w:t xml:space="preserve">n. </w:t>
      </w:r>
      <w:r w:rsidRPr="00E66A69">
        <w:rPr>
          <w:rFonts w:ascii="Perpetua" w:hAnsi="Perpetua" w:cs="Times New Roman"/>
        </w:rPr>
        <w:t xml:space="preserve">363/2021/R/RIF per la determinazione dei costi riconosciuti; </w:t>
      </w:r>
    </w:p>
    <w:p w:rsidR="00766B5B" w:rsidRPr="00E66A69" w:rsidRDefault="00766B5B" w:rsidP="00E66A69">
      <w:pPr>
        <w:pStyle w:val="Default"/>
        <w:spacing w:line="360" w:lineRule="auto"/>
        <w:jc w:val="both"/>
        <w:rPr>
          <w:rFonts w:ascii="Perpetua" w:hAnsi="Perpetua" w:cs="Times New Roman"/>
        </w:rPr>
      </w:pPr>
      <w:r w:rsidRPr="00E66A69">
        <w:rPr>
          <w:rFonts w:ascii="Perpetua" w:hAnsi="Perpetua" w:cs="Times New Roman"/>
        </w:rPr>
        <w:t xml:space="preserve">3) </w:t>
      </w:r>
      <w:r w:rsidR="008F0173">
        <w:rPr>
          <w:rFonts w:ascii="Perpetua" w:hAnsi="Perpetua" w:cs="Times New Roman"/>
        </w:rPr>
        <w:t>d</w:t>
      </w:r>
      <w:r w:rsidRPr="00E66A69">
        <w:rPr>
          <w:rFonts w:ascii="Perpetua" w:hAnsi="Perpetua" w:cs="Times New Roman"/>
        </w:rPr>
        <w:t xml:space="preserve">i dare atto che i parametri ed i coefficienti di competenza di questo ETC sono stati definitivamente assunti nei seguenti valori: </w:t>
      </w:r>
    </w:p>
    <w:p w:rsidR="00B50628" w:rsidRDefault="00095137" w:rsidP="006B602D">
      <w:pPr>
        <w:spacing w:before="57" w:after="57" w:line="276" w:lineRule="auto"/>
        <w:jc w:val="both"/>
        <w:rPr>
          <w:rFonts w:ascii="Perpetua" w:hAnsi="Perpetua" w:cs="Times New Roman"/>
          <w:b/>
          <w:bCs/>
        </w:rPr>
      </w:pPr>
      <w:r w:rsidRPr="008F0173">
        <w:rPr>
          <w:rFonts w:ascii="Perpetua" w:hAnsi="Perpetua" w:cs="Times New Roman"/>
          <w:b/>
          <w:bCs/>
        </w:rPr>
        <w:t>per l’anno 2024</w:t>
      </w:r>
    </w:p>
    <w:tbl>
      <w:tblPr>
        <w:tblW w:w="5000" w:type="pct"/>
        <w:tblCellMar>
          <w:left w:w="70" w:type="dxa"/>
          <w:right w:w="70" w:type="dxa"/>
        </w:tblCellMar>
        <w:tblLook w:val="04A0"/>
      </w:tblPr>
      <w:tblGrid>
        <w:gridCol w:w="7328"/>
        <w:gridCol w:w="2450"/>
      </w:tblGrid>
      <w:tr w:rsidR="00CD3EBC" w:rsidRPr="00CD3EBC" w:rsidTr="0078536B">
        <w:trPr>
          <w:trHeight w:val="402"/>
        </w:trPr>
        <w:tc>
          <w:tcPr>
            <w:tcW w:w="3747" w:type="pct"/>
            <w:tcBorders>
              <w:top w:val="single" w:sz="8" w:space="0" w:color="auto"/>
              <w:left w:val="single" w:sz="8" w:space="0" w:color="auto"/>
              <w:bottom w:val="single" w:sz="4" w:space="0" w:color="auto"/>
              <w:right w:val="single" w:sz="8" w:space="0" w:color="auto"/>
            </w:tcBorders>
            <w:shd w:val="clear" w:color="000000" w:fill="FFFFCC"/>
            <w:noWrap/>
            <w:vAlign w:val="center"/>
            <w:hideMark/>
          </w:tcPr>
          <w:p w:rsidR="00CD3EBC" w:rsidRPr="00CD3EBC" w:rsidRDefault="00CD3EBC" w:rsidP="0078536B">
            <w:pPr>
              <w:jc w:val="center"/>
              <w:rPr>
                <w:rFonts w:ascii="Perpetua" w:hAnsi="Perpetua"/>
                <w:i/>
                <w:iCs/>
                <w:color w:val="000000"/>
                <w:sz w:val="20"/>
                <w:szCs w:val="20"/>
              </w:rPr>
            </w:pPr>
            <w:proofErr w:type="spellStart"/>
            <w:r w:rsidRPr="00CD3EBC">
              <w:rPr>
                <w:rFonts w:ascii="Perpetua" w:hAnsi="Perpetua"/>
                <w:i/>
                <w:iCs/>
                <w:color w:val="000000"/>
                <w:sz w:val="20"/>
                <w:szCs w:val="20"/>
              </w:rPr>
              <w:t>rpi</w:t>
            </w:r>
            <w:r w:rsidRPr="00CD3EBC">
              <w:rPr>
                <w:rFonts w:ascii="Perpetua" w:hAnsi="Perpetua"/>
                <w:i/>
                <w:iCs/>
                <w:color w:val="000000"/>
                <w:sz w:val="20"/>
                <w:szCs w:val="20"/>
                <w:vertAlign w:val="subscript"/>
              </w:rPr>
              <w:t>a</w:t>
            </w:r>
            <w:proofErr w:type="spellEnd"/>
          </w:p>
        </w:tc>
        <w:tc>
          <w:tcPr>
            <w:tcW w:w="1253" w:type="pct"/>
            <w:tcBorders>
              <w:top w:val="single" w:sz="8" w:space="0" w:color="auto"/>
              <w:left w:val="single" w:sz="4" w:space="0" w:color="auto"/>
              <w:bottom w:val="single" w:sz="4" w:space="0" w:color="auto"/>
              <w:right w:val="single" w:sz="8" w:space="0" w:color="auto"/>
            </w:tcBorders>
            <w:shd w:val="clear" w:color="000000" w:fill="FFFFCC"/>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2,7%</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coefficiente di recupero di produttività   </w:t>
            </w:r>
            <w:proofErr w:type="spellStart"/>
            <w:r w:rsidRPr="00CD3EBC">
              <w:rPr>
                <w:rFonts w:ascii="Perpetua" w:hAnsi="Perpetua"/>
                <w:b/>
                <w:bCs/>
                <w:i/>
                <w:iCs/>
                <w:color w:val="000000"/>
                <w:sz w:val="20"/>
                <w:szCs w:val="20"/>
              </w:rPr>
              <w:t>X</w:t>
            </w:r>
            <w:r w:rsidRPr="00CD3EBC">
              <w:rPr>
                <w:rFonts w:ascii="Perpetua" w:hAnsi="Perpetua"/>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0,11%</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il miglioramento previsto della qualità </w:t>
            </w:r>
            <w:r w:rsidRPr="00CD3EBC">
              <w:rPr>
                <w:rFonts w:ascii="Perpetua" w:hAnsi="Perpetua"/>
                <w:b/>
                <w:bCs/>
                <w:color w:val="000000"/>
                <w:sz w:val="20"/>
                <w:szCs w:val="20"/>
              </w:rPr>
              <w:t xml:space="preserve">  </w:t>
            </w:r>
            <w:proofErr w:type="spellStart"/>
            <w:r w:rsidRPr="00CD3EBC">
              <w:rPr>
                <w:rFonts w:ascii="Perpetua" w:hAnsi="Perpetua"/>
                <w:b/>
                <w:bCs/>
                <w:i/>
                <w:iCs/>
                <w:color w:val="000000"/>
                <w:sz w:val="20"/>
                <w:szCs w:val="20"/>
              </w:rPr>
              <w:t>QL</w:t>
            </w:r>
            <w:r w:rsidRPr="00CD3EBC">
              <w:rPr>
                <w:rFonts w:ascii="Perpetua" w:hAnsi="Perpetua"/>
                <w:b/>
                <w:bCs/>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la valorizzazione di modifiche del perimetro gestionale   </w:t>
            </w:r>
            <w:proofErr w:type="spellStart"/>
            <w:r w:rsidRPr="00CD3EBC">
              <w:rPr>
                <w:rFonts w:ascii="Perpetua" w:hAnsi="Perpetua"/>
                <w:b/>
                <w:bCs/>
                <w:i/>
                <w:iCs/>
                <w:color w:val="000000"/>
                <w:sz w:val="20"/>
                <w:szCs w:val="20"/>
              </w:rPr>
              <w:t>PG</w:t>
            </w:r>
            <w:r w:rsidRPr="00CD3EBC">
              <w:rPr>
                <w:rFonts w:ascii="Perpetua" w:hAnsi="Perpetua"/>
                <w:b/>
                <w:bCs/>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decreto legislativo n. 116/20   </w:t>
            </w:r>
            <w:r w:rsidRPr="00CD3EBC">
              <w:rPr>
                <w:rFonts w:ascii="Perpetua" w:hAnsi="Perpetua"/>
                <w:b/>
                <w:bCs/>
                <w:i/>
                <w:iCs/>
                <w:color w:val="000000"/>
                <w:sz w:val="20"/>
                <w:szCs w:val="20"/>
              </w:rPr>
              <w:t>C</w:t>
            </w:r>
            <w:r w:rsidRPr="00CD3EBC">
              <w:rPr>
                <w:rFonts w:ascii="Perpetua" w:hAnsi="Perpetua"/>
                <w:b/>
                <w:bCs/>
                <w:i/>
                <w:iCs/>
                <w:sz w:val="20"/>
                <w:szCs w:val="20"/>
                <w:vertAlign w:val="subscript"/>
              </w:rPr>
              <w:t>116</w:t>
            </w:r>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sz w:val="20"/>
                <w:szCs w:val="20"/>
              </w:rPr>
            </w:pPr>
            <w:r w:rsidRPr="00CD3EBC">
              <w:rPr>
                <w:rFonts w:ascii="Perpetua" w:hAnsi="Perpetua"/>
                <w:sz w:val="20"/>
                <w:szCs w:val="20"/>
              </w:rPr>
              <w:t xml:space="preserve">coeff. per recupero inflazione </w:t>
            </w:r>
            <w:proofErr w:type="spellStart"/>
            <w:r w:rsidRPr="00CD3EBC">
              <w:rPr>
                <w:rFonts w:ascii="Perpetua" w:hAnsi="Perpetua"/>
                <w:b/>
                <w:bCs/>
                <w:i/>
                <w:iCs/>
                <w:sz w:val="20"/>
                <w:szCs w:val="20"/>
              </w:rPr>
              <w:t>CRI</w:t>
            </w:r>
            <w:r w:rsidRPr="00CD3EBC">
              <w:rPr>
                <w:rFonts w:ascii="Perpetua" w:hAnsi="Perpetua"/>
                <w:b/>
                <w:bCs/>
                <w:i/>
                <w:iCs/>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7,00%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0070C0"/>
            <w:noWrap/>
            <w:vAlign w:val="center"/>
            <w:hideMark/>
          </w:tcPr>
          <w:p w:rsidR="00CD3EBC" w:rsidRPr="00CD3EBC" w:rsidRDefault="00CD3EBC" w:rsidP="0078536B">
            <w:pPr>
              <w:jc w:val="center"/>
              <w:rPr>
                <w:rFonts w:ascii="Perpetua" w:hAnsi="Perpetua"/>
                <w:b/>
                <w:bCs/>
                <w:color w:val="FFFFFF"/>
                <w:sz w:val="20"/>
                <w:szCs w:val="20"/>
              </w:rPr>
            </w:pPr>
            <w:r w:rsidRPr="00CD3EBC">
              <w:rPr>
                <w:rFonts w:ascii="Perpetua" w:hAnsi="Perpetua"/>
                <w:b/>
                <w:bCs/>
                <w:color w:val="FFFFFF"/>
                <w:sz w:val="20"/>
                <w:szCs w:val="20"/>
              </w:rPr>
              <w:t xml:space="preserve">Parametro per la determinazione del limite alla crescita delle tariffe </w:t>
            </w:r>
            <w:r w:rsidRPr="00CD3EBC">
              <w:rPr>
                <w:rFonts w:ascii="Cambria" w:hAnsi="Cambria" w:cs="Cambria"/>
                <w:b/>
                <w:bCs/>
                <w:i/>
                <w:iCs/>
                <w:color w:val="FFFFFF"/>
                <w:sz w:val="20"/>
                <w:szCs w:val="20"/>
              </w:rPr>
              <w:t>ρ</w:t>
            </w:r>
          </w:p>
        </w:tc>
        <w:tc>
          <w:tcPr>
            <w:tcW w:w="1253" w:type="pct"/>
            <w:tcBorders>
              <w:top w:val="nil"/>
              <w:left w:val="single" w:sz="4" w:space="0" w:color="auto"/>
              <w:bottom w:val="single" w:sz="4" w:space="0" w:color="auto"/>
              <w:right w:val="single" w:sz="8" w:space="0" w:color="auto"/>
            </w:tcBorders>
            <w:shd w:val="clear" w:color="000000" w:fill="0070C0"/>
            <w:noWrap/>
            <w:hideMark/>
          </w:tcPr>
          <w:p w:rsidR="00CD3EBC" w:rsidRPr="0037469E" w:rsidRDefault="00CD3EBC" w:rsidP="0078536B">
            <w:pPr>
              <w:jc w:val="center"/>
              <w:rPr>
                <w:rFonts w:ascii="Perpetua" w:hAnsi="Perpetua"/>
                <w:b/>
                <w:bCs/>
                <w:color w:val="FF0000"/>
                <w:sz w:val="20"/>
                <w:szCs w:val="20"/>
              </w:rPr>
            </w:pPr>
            <w:r w:rsidRPr="0037469E">
              <w:rPr>
                <w:rFonts w:ascii="Perpetua" w:hAnsi="Perpetua"/>
                <w:b/>
                <w:bCs/>
                <w:color w:val="FFFFFF" w:themeColor="background1"/>
                <w:sz w:val="20"/>
                <w:szCs w:val="20"/>
              </w:rPr>
              <w:t>9,59%</w:t>
            </w:r>
          </w:p>
        </w:tc>
      </w:tr>
    </w:tbl>
    <w:p w:rsidR="00F66852" w:rsidRPr="008F0173" w:rsidRDefault="00F66852" w:rsidP="006B602D">
      <w:pPr>
        <w:spacing w:before="57" w:after="57" w:line="276" w:lineRule="auto"/>
        <w:jc w:val="both"/>
        <w:rPr>
          <w:rFonts w:ascii="Perpetua" w:hAnsi="Perpetua" w:cs="Times New Roman"/>
          <w:b/>
          <w:bCs/>
          <w:sz w:val="20"/>
          <w:szCs w:val="20"/>
        </w:rPr>
      </w:pPr>
    </w:p>
    <w:p w:rsidR="00095137" w:rsidRDefault="00095137" w:rsidP="00095137">
      <w:pPr>
        <w:spacing w:before="57" w:after="57" w:line="276" w:lineRule="auto"/>
        <w:jc w:val="both"/>
        <w:rPr>
          <w:rFonts w:ascii="Perpetua" w:hAnsi="Perpetua" w:cs="Times New Roman"/>
          <w:b/>
          <w:bCs/>
        </w:rPr>
      </w:pPr>
      <w:r w:rsidRPr="008F0173">
        <w:rPr>
          <w:rFonts w:ascii="Perpetua" w:hAnsi="Perpetua" w:cs="Times New Roman"/>
          <w:b/>
          <w:bCs/>
        </w:rPr>
        <w:t>per l’anno 2025</w:t>
      </w:r>
    </w:p>
    <w:tbl>
      <w:tblPr>
        <w:tblW w:w="5000" w:type="pct"/>
        <w:tblCellMar>
          <w:left w:w="70" w:type="dxa"/>
          <w:right w:w="70" w:type="dxa"/>
        </w:tblCellMar>
        <w:tblLook w:val="04A0"/>
      </w:tblPr>
      <w:tblGrid>
        <w:gridCol w:w="7328"/>
        <w:gridCol w:w="2450"/>
      </w:tblGrid>
      <w:tr w:rsidR="00CD3EBC" w:rsidRPr="00CD3EBC" w:rsidTr="0078536B">
        <w:trPr>
          <w:trHeight w:val="402"/>
        </w:trPr>
        <w:tc>
          <w:tcPr>
            <w:tcW w:w="3747" w:type="pct"/>
            <w:tcBorders>
              <w:top w:val="single" w:sz="8" w:space="0" w:color="auto"/>
              <w:left w:val="single" w:sz="8" w:space="0" w:color="auto"/>
              <w:bottom w:val="single" w:sz="4" w:space="0" w:color="auto"/>
              <w:right w:val="single" w:sz="8" w:space="0" w:color="auto"/>
            </w:tcBorders>
            <w:shd w:val="clear" w:color="000000" w:fill="FFFFCC"/>
            <w:noWrap/>
            <w:vAlign w:val="center"/>
            <w:hideMark/>
          </w:tcPr>
          <w:p w:rsidR="00CD3EBC" w:rsidRPr="00CD3EBC" w:rsidRDefault="00CD3EBC" w:rsidP="0078536B">
            <w:pPr>
              <w:jc w:val="center"/>
              <w:rPr>
                <w:rFonts w:ascii="Perpetua" w:hAnsi="Perpetua"/>
                <w:i/>
                <w:iCs/>
                <w:color w:val="000000"/>
                <w:sz w:val="20"/>
                <w:szCs w:val="20"/>
              </w:rPr>
            </w:pPr>
            <w:proofErr w:type="spellStart"/>
            <w:r w:rsidRPr="00CD3EBC">
              <w:rPr>
                <w:rFonts w:ascii="Perpetua" w:hAnsi="Perpetua"/>
                <w:i/>
                <w:iCs/>
                <w:color w:val="000000"/>
                <w:sz w:val="20"/>
                <w:szCs w:val="20"/>
              </w:rPr>
              <w:t>rpi</w:t>
            </w:r>
            <w:r w:rsidRPr="00CD3EBC">
              <w:rPr>
                <w:rFonts w:ascii="Perpetua" w:hAnsi="Perpetua"/>
                <w:i/>
                <w:iCs/>
                <w:color w:val="000000"/>
                <w:sz w:val="20"/>
                <w:szCs w:val="20"/>
                <w:vertAlign w:val="subscript"/>
              </w:rPr>
              <w:t>a</w:t>
            </w:r>
            <w:proofErr w:type="spellEnd"/>
          </w:p>
        </w:tc>
        <w:tc>
          <w:tcPr>
            <w:tcW w:w="1253" w:type="pct"/>
            <w:tcBorders>
              <w:top w:val="single" w:sz="8" w:space="0" w:color="auto"/>
              <w:left w:val="single" w:sz="4" w:space="0" w:color="auto"/>
              <w:bottom w:val="single" w:sz="4" w:space="0" w:color="auto"/>
              <w:right w:val="single" w:sz="8" w:space="0" w:color="auto"/>
            </w:tcBorders>
            <w:shd w:val="clear" w:color="000000" w:fill="FFFFCC"/>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2,7%</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coefficiente di recupero di produttività   </w:t>
            </w:r>
            <w:proofErr w:type="spellStart"/>
            <w:r w:rsidRPr="00CD3EBC">
              <w:rPr>
                <w:rFonts w:ascii="Perpetua" w:hAnsi="Perpetua"/>
                <w:b/>
                <w:bCs/>
                <w:i/>
                <w:iCs/>
                <w:color w:val="000000"/>
                <w:sz w:val="20"/>
                <w:szCs w:val="20"/>
              </w:rPr>
              <w:t>X</w:t>
            </w:r>
            <w:r w:rsidRPr="00CD3EBC">
              <w:rPr>
                <w:rFonts w:ascii="Perpetua" w:hAnsi="Perpetua"/>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0,11%</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il miglioramento previsto della qualità </w:t>
            </w:r>
            <w:r w:rsidRPr="00CD3EBC">
              <w:rPr>
                <w:rFonts w:ascii="Perpetua" w:hAnsi="Perpetua"/>
                <w:b/>
                <w:bCs/>
                <w:color w:val="000000"/>
                <w:sz w:val="20"/>
                <w:szCs w:val="20"/>
              </w:rPr>
              <w:t xml:space="preserve">  </w:t>
            </w:r>
            <w:proofErr w:type="spellStart"/>
            <w:r w:rsidRPr="00CD3EBC">
              <w:rPr>
                <w:rFonts w:ascii="Perpetua" w:hAnsi="Perpetua"/>
                <w:b/>
                <w:bCs/>
                <w:i/>
                <w:iCs/>
                <w:color w:val="000000"/>
                <w:sz w:val="20"/>
                <w:szCs w:val="20"/>
              </w:rPr>
              <w:t>QL</w:t>
            </w:r>
            <w:r w:rsidRPr="00CD3EBC">
              <w:rPr>
                <w:rFonts w:ascii="Perpetua" w:hAnsi="Perpetua"/>
                <w:b/>
                <w:bCs/>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la valorizzazione di modifiche del perimetro gestionale   </w:t>
            </w:r>
            <w:proofErr w:type="spellStart"/>
            <w:r w:rsidRPr="00CD3EBC">
              <w:rPr>
                <w:rFonts w:ascii="Perpetua" w:hAnsi="Perpetua"/>
                <w:b/>
                <w:bCs/>
                <w:i/>
                <w:iCs/>
                <w:color w:val="000000"/>
                <w:sz w:val="20"/>
                <w:szCs w:val="20"/>
              </w:rPr>
              <w:t>PG</w:t>
            </w:r>
            <w:r w:rsidRPr="00CD3EBC">
              <w:rPr>
                <w:rFonts w:ascii="Perpetua" w:hAnsi="Perpetua"/>
                <w:b/>
                <w:bCs/>
                <w:i/>
                <w:iCs/>
                <w:color w:val="000000"/>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color w:val="000000"/>
                <w:sz w:val="20"/>
                <w:szCs w:val="20"/>
              </w:rPr>
            </w:pPr>
            <w:r w:rsidRPr="00CD3EBC">
              <w:rPr>
                <w:rFonts w:ascii="Perpetua" w:hAnsi="Perpetua"/>
                <w:color w:val="000000"/>
                <w:sz w:val="20"/>
                <w:szCs w:val="20"/>
              </w:rPr>
              <w:t xml:space="preserve">coeff. per decreto legislativo n. 116/20   </w:t>
            </w:r>
            <w:r w:rsidRPr="00CD3EBC">
              <w:rPr>
                <w:rFonts w:ascii="Perpetua" w:hAnsi="Perpetua"/>
                <w:b/>
                <w:bCs/>
                <w:i/>
                <w:iCs/>
                <w:color w:val="000000"/>
                <w:sz w:val="20"/>
                <w:szCs w:val="20"/>
              </w:rPr>
              <w:t>C</w:t>
            </w:r>
            <w:r w:rsidRPr="00CD3EBC">
              <w:rPr>
                <w:rFonts w:ascii="Perpetua" w:hAnsi="Perpetua"/>
                <w:b/>
                <w:bCs/>
                <w:i/>
                <w:iCs/>
                <w:sz w:val="20"/>
                <w:szCs w:val="20"/>
                <w:vertAlign w:val="subscript"/>
              </w:rPr>
              <w:t>116</w:t>
            </w:r>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0,00%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FFFFFF"/>
            <w:noWrap/>
            <w:vAlign w:val="center"/>
            <w:hideMark/>
          </w:tcPr>
          <w:p w:rsidR="00CD3EBC" w:rsidRPr="00CD3EBC" w:rsidRDefault="00CD3EBC" w:rsidP="0078536B">
            <w:pPr>
              <w:jc w:val="center"/>
              <w:rPr>
                <w:rFonts w:ascii="Perpetua" w:hAnsi="Perpetua"/>
                <w:sz w:val="20"/>
                <w:szCs w:val="20"/>
              </w:rPr>
            </w:pPr>
            <w:r w:rsidRPr="00CD3EBC">
              <w:rPr>
                <w:rFonts w:ascii="Perpetua" w:hAnsi="Perpetua"/>
                <w:sz w:val="20"/>
                <w:szCs w:val="20"/>
              </w:rPr>
              <w:t xml:space="preserve">coeff. per recupero inflazione </w:t>
            </w:r>
            <w:proofErr w:type="spellStart"/>
            <w:r w:rsidRPr="00CD3EBC">
              <w:rPr>
                <w:rFonts w:ascii="Perpetua" w:hAnsi="Perpetua"/>
                <w:b/>
                <w:bCs/>
                <w:i/>
                <w:iCs/>
                <w:sz w:val="20"/>
                <w:szCs w:val="20"/>
              </w:rPr>
              <w:t>CRI</w:t>
            </w:r>
            <w:r w:rsidRPr="00CD3EBC">
              <w:rPr>
                <w:rFonts w:ascii="Perpetua" w:hAnsi="Perpetua"/>
                <w:b/>
                <w:bCs/>
                <w:i/>
                <w:iCs/>
                <w:sz w:val="20"/>
                <w:szCs w:val="20"/>
                <w:vertAlign w:val="subscript"/>
              </w:rPr>
              <w:t>a</w:t>
            </w:r>
            <w:proofErr w:type="spellEnd"/>
          </w:p>
        </w:tc>
        <w:tc>
          <w:tcPr>
            <w:tcW w:w="1253" w:type="pct"/>
            <w:tcBorders>
              <w:top w:val="nil"/>
              <w:left w:val="single" w:sz="4" w:space="0" w:color="auto"/>
              <w:bottom w:val="single" w:sz="4" w:space="0" w:color="auto"/>
              <w:right w:val="single" w:sz="8" w:space="0" w:color="auto"/>
            </w:tcBorders>
            <w:shd w:val="clear" w:color="000000" w:fill="FFFFFF"/>
            <w:noWrap/>
            <w:hideMark/>
          </w:tcPr>
          <w:p w:rsidR="00CD3EBC" w:rsidRPr="00CD3EBC" w:rsidRDefault="00CD3EBC" w:rsidP="0078536B">
            <w:pPr>
              <w:jc w:val="center"/>
              <w:rPr>
                <w:rFonts w:ascii="Perpetua" w:hAnsi="Perpetua"/>
                <w:color w:val="FF0000"/>
                <w:sz w:val="20"/>
                <w:szCs w:val="20"/>
              </w:rPr>
            </w:pPr>
            <w:r w:rsidRPr="00CD3EBC">
              <w:rPr>
                <w:rFonts w:ascii="Perpetua" w:hAnsi="Perpetua"/>
                <w:sz w:val="20"/>
                <w:szCs w:val="20"/>
              </w:rPr>
              <w:t>7,00%</w:t>
            </w:r>
          </w:p>
        </w:tc>
      </w:tr>
      <w:tr w:rsidR="00CD3EBC" w:rsidRPr="00CD3EBC" w:rsidTr="0078536B">
        <w:trPr>
          <w:trHeight w:val="402"/>
        </w:trPr>
        <w:tc>
          <w:tcPr>
            <w:tcW w:w="3747" w:type="pct"/>
            <w:tcBorders>
              <w:top w:val="nil"/>
              <w:left w:val="single" w:sz="8" w:space="0" w:color="auto"/>
              <w:bottom w:val="single" w:sz="4" w:space="0" w:color="auto"/>
              <w:right w:val="single" w:sz="8" w:space="0" w:color="auto"/>
            </w:tcBorders>
            <w:shd w:val="clear" w:color="000000" w:fill="0070C0"/>
            <w:noWrap/>
            <w:vAlign w:val="center"/>
            <w:hideMark/>
          </w:tcPr>
          <w:p w:rsidR="00CD3EBC" w:rsidRPr="00CD3EBC" w:rsidRDefault="00CD3EBC" w:rsidP="0078536B">
            <w:pPr>
              <w:jc w:val="center"/>
              <w:rPr>
                <w:rFonts w:ascii="Perpetua" w:hAnsi="Perpetua"/>
                <w:b/>
                <w:bCs/>
                <w:color w:val="FFFFFF"/>
                <w:sz w:val="20"/>
                <w:szCs w:val="20"/>
              </w:rPr>
            </w:pPr>
            <w:r w:rsidRPr="00CD3EBC">
              <w:rPr>
                <w:rFonts w:ascii="Perpetua" w:hAnsi="Perpetua"/>
                <w:b/>
                <w:bCs/>
                <w:color w:val="FFFFFF"/>
                <w:sz w:val="20"/>
                <w:szCs w:val="20"/>
              </w:rPr>
              <w:t xml:space="preserve">Parametro per la determinazione del limite alla crescita delle tariffe </w:t>
            </w:r>
            <w:r w:rsidRPr="00CD3EBC">
              <w:rPr>
                <w:rFonts w:ascii="Cambria" w:hAnsi="Cambria" w:cs="Cambria"/>
                <w:b/>
                <w:bCs/>
                <w:i/>
                <w:iCs/>
                <w:color w:val="FFFFFF"/>
                <w:sz w:val="20"/>
                <w:szCs w:val="20"/>
              </w:rPr>
              <w:t>ρ</w:t>
            </w:r>
          </w:p>
        </w:tc>
        <w:tc>
          <w:tcPr>
            <w:tcW w:w="1253" w:type="pct"/>
            <w:tcBorders>
              <w:top w:val="nil"/>
              <w:left w:val="single" w:sz="4" w:space="0" w:color="auto"/>
              <w:bottom w:val="single" w:sz="4" w:space="0" w:color="auto"/>
              <w:right w:val="single" w:sz="8" w:space="0" w:color="auto"/>
            </w:tcBorders>
            <w:shd w:val="clear" w:color="000000" w:fill="0070C0"/>
            <w:noWrap/>
            <w:hideMark/>
          </w:tcPr>
          <w:p w:rsidR="00CD3EBC" w:rsidRPr="0037469E" w:rsidRDefault="00CD3EBC" w:rsidP="0078536B">
            <w:pPr>
              <w:jc w:val="center"/>
              <w:rPr>
                <w:rFonts w:ascii="Perpetua" w:hAnsi="Perpetua"/>
                <w:b/>
                <w:bCs/>
                <w:color w:val="FF0000"/>
                <w:sz w:val="20"/>
                <w:szCs w:val="20"/>
              </w:rPr>
            </w:pPr>
            <w:r w:rsidRPr="0037469E">
              <w:rPr>
                <w:rFonts w:ascii="Perpetua" w:hAnsi="Perpetua"/>
                <w:b/>
                <w:bCs/>
                <w:color w:val="FFFFFF" w:themeColor="background1"/>
                <w:sz w:val="20"/>
                <w:szCs w:val="20"/>
              </w:rPr>
              <w:t>9,59%</w:t>
            </w:r>
          </w:p>
        </w:tc>
      </w:tr>
    </w:tbl>
    <w:p w:rsidR="00CD3EBC" w:rsidRDefault="00CD3EBC" w:rsidP="00095137">
      <w:pPr>
        <w:spacing w:before="57" w:after="57" w:line="276" w:lineRule="auto"/>
        <w:jc w:val="both"/>
        <w:rPr>
          <w:rFonts w:ascii="Perpetua" w:hAnsi="Perpetua" w:cs="Times New Roman"/>
          <w:b/>
          <w:bCs/>
        </w:rPr>
      </w:pPr>
    </w:p>
    <w:p w:rsidR="00766B5B" w:rsidRPr="007C6FDB" w:rsidRDefault="00766B5B" w:rsidP="007C6FDB">
      <w:pPr>
        <w:pStyle w:val="Default"/>
        <w:spacing w:line="360" w:lineRule="auto"/>
        <w:jc w:val="both"/>
        <w:rPr>
          <w:rFonts w:ascii="Perpetua" w:hAnsi="Perpetua" w:cs="Times New Roman"/>
        </w:rPr>
      </w:pPr>
      <w:r w:rsidRPr="007C6FDB">
        <w:rPr>
          <w:rFonts w:ascii="Perpetua" w:hAnsi="Perpetua" w:cs="Times New Roman"/>
        </w:rPr>
        <w:t xml:space="preserve">4) Di approvare il PEF 2024-2025 relativo all’ambito tariffario relativo </w:t>
      </w:r>
      <w:r w:rsidR="00095137" w:rsidRPr="007C6FDB">
        <w:rPr>
          <w:rFonts w:ascii="Perpetua" w:hAnsi="Perpetua" w:cs="Times New Roman"/>
        </w:rPr>
        <w:t>de</w:t>
      </w:r>
      <w:r w:rsidRPr="007C6FDB">
        <w:rPr>
          <w:rFonts w:ascii="Perpetua" w:hAnsi="Perpetua" w:cs="Times New Roman"/>
        </w:rPr>
        <w:t xml:space="preserve">l </w:t>
      </w:r>
      <w:r w:rsidRPr="007C6FDB">
        <w:rPr>
          <w:rFonts w:ascii="Perpetua" w:hAnsi="Perpetua" w:cs="Times New Roman"/>
          <w:b/>
          <w:bCs/>
        </w:rPr>
        <w:t xml:space="preserve">Comune di </w:t>
      </w:r>
      <w:r w:rsidR="00701D04">
        <w:rPr>
          <w:rFonts w:ascii="Perpetua" w:hAnsi="Perpetua" w:cs="Times New Roman"/>
          <w:b/>
          <w:bCs/>
        </w:rPr>
        <w:t>Terrasini</w:t>
      </w:r>
      <w:r w:rsidRPr="007C6FDB">
        <w:rPr>
          <w:rFonts w:ascii="Perpetua" w:hAnsi="Perpetua" w:cs="Times New Roman"/>
          <w:b/>
          <w:bCs/>
        </w:rPr>
        <w:t xml:space="preserve">, </w:t>
      </w:r>
      <w:r w:rsidRPr="007C6FDB">
        <w:rPr>
          <w:rFonts w:ascii="Perpetua" w:hAnsi="Perpetua" w:cs="Times New Roman"/>
        </w:rPr>
        <w:t xml:space="preserve">redatto secondo la determinazione N. 1/DTAC/2023, dal quale risulta che, per ciascuna annualità del biennio 2024 – 2025, le entrate tariffarie di riferimento finali, intese come entrate tariffarie massime applicabili nel rispetto del limite di crescita, assumono i seguenti valori: </w:t>
      </w:r>
    </w:p>
    <w:p w:rsidR="00401A9C" w:rsidRPr="003C2C41" w:rsidRDefault="00401A9C" w:rsidP="006B602D">
      <w:pPr>
        <w:pStyle w:val="Default"/>
        <w:jc w:val="both"/>
        <w:rPr>
          <w:rFonts w:ascii="Times New Roman" w:hAnsi="Times New Roman" w:cs="Times New Roman"/>
        </w:rPr>
      </w:pPr>
    </w:p>
    <w:p w:rsidR="00766B5B" w:rsidRDefault="00095137" w:rsidP="006B602D">
      <w:pPr>
        <w:spacing w:before="57" w:after="57" w:line="276" w:lineRule="auto"/>
        <w:jc w:val="both"/>
        <w:rPr>
          <w:rFonts w:ascii="Perpetua" w:hAnsi="Perpetua" w:cs="Times New Roman"/>
          <w:b/>
          <w:bCs/>
        </w:rPr>
      </w:pPr>
      <w:r>
        <w:rPr>
          <w:rFonts w:ascii="Times New Roman" w:hAnsi="Times New Roman" w:cs="Times New Roman"/>
          <w:b/>
          <w:bCs/>
        </w:rPr>
        <w:t xml:space="preserve"> </w:t>
      </w:r>
      <w:r w:rsidRPr="00BA1FD9">
        <w:rPr>
          <w:rFonts w:ascii="Perpetua" w:hAnsi="Perpetua" w:cs="Times New Roman"/>
          <w:b/>
          <w:bCs/>
        </w:rPr>
        <w:t>Anno 2024</w:t>
      </w:r>
    </w:p>
    <w:tbl>
      <w:tblPr>
        <w:tblW w:w="9913" w:type="dxa"/>
        <w:tblCellMar>
          <w:left w:w="70" w:type="dxa"/>
          <w:right w:w="70" w:type="dxa"/>
        </w:tblCellMar>
        <w:tblLook w:val="04A0"/>
      </w:tblPr>
      <w:tblGrid>
        <w:gridCol w:w="5519"/>
        <w:gridCol w:w="1493"/>
        <w:gridCol w:w="1342"/>
        <w:gridCol w:w="1559"/>
      </w:tblGrid>
      <w:tr w:rsidR="009D58C1" w:rsidRPr="009D58C1" w:rsidTr="0078536B">
        <w:trPr>
          <w:trHeight w:val="402"/>
        </w:trPr>
        <w:tc>
          <w:tcPr>
            <w:tcW w:w="5519"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rsidR="009D58C1" w:rsidRPr="009D58C1" w:rsidRDefault="009D58C1" w:rsidP="0078536B">
            <w:pPr>
              <w:rPr>
                <w:rFonts w:ascii="Perpetua" w:hAnsi="Perpetua" w:cs="Calibri"/>
                <w:color w:val="FFFFFF"/>
                <w:sz w:val="20"/>
                <w:szCs w:val="20"/>
              </w:rPr>
            </w:pPr>
          </w:p>
        </w:tc>
        <w:tc>
          <w:tcPr>
            <w:tcW w:w="1493" w:type="dxa"/>
            <w:tcBorders>
              <w:top w:val="single" w:sz="8" w:space="0" w:color="auto"/>
              <w:left w:val="nil"/>
              <w:bottom w:val="single" w:sz="4" w:space="0" w:color="auto"/>
              <w:right w:val="single" w:sz="4" w:space="0" w:color="auto"/>
            </w:tcBorders>
            <w:shd w:val="clear" w:color="000000" w:fill="FFFFFF"/>
            <w:noWrap/>
            <w:vAlign w:val="center"/>
            <w:hideMark/>
          </w:tcPr>
          <w:p w:rsidR="009D58C1" w:rsidRPr="009D58C1" w:rsidRDefault="009D58C1" w:rsidP="0078536B">
            <w:pPr>
              <w:jc w:val="center"/>
              <w:rPr>
                <w:rFonts w:ascii="Perpetua" w:hAnsi="Perpetua" w:cs="Calibri"/>
                <w:b/>
                <w:bCs/>
                <w:sz w:val="20"/>
                <w:szCs w:val="20"/>
              </w:rPr>
            </w:pPr>
            <w:proofErr w:type="spellStart"/>
            <w:r w:rsidRPr="009D58C1">
              <w:rPr>
                <w:rFonts w:ascii="Perpetua" w:hAnsi="Perpetua" w:cs="Calibri"/>
                <w:b/>
                <w:bCs/>
                <w:sz w:val="20"/>
                <w:szCs w:val="20"/>
              </w:rPr>
              <w:t>Econord</w:t>
            </w:r>
            <w:proofErr w:type="spellEnd"/>
            <w:r w:rsidRPr="009D58C1">
              <w:rPr>
                <w:rFonts w:ascii="Perpetua" w:hAnsi="Perpetua" w:cs="Calibri"/>
                <w:b/>
                <w:bCs/>
                <w:sz w:val="20"/>
                <w:szCs w:val="20"/>
              </w:rPr>
              <w:t xml:space="preserve"> S.p.A. </w:t>
            </w:r>
          </w:p>
        </w:tc>
        <w:tc>
          <w:tcPr>
            <w:tcW w:w="1342" w:type="dxa"/>
            <w:tcBorders>
              <w:top w:val="single" w:sz="8" w:space="0" w:color="auto"/>
              <w:left w:val="nil"/>
              <w:bottom w:val="single" w:sz="4" w:space="0" w:color="auto"/>
              <w:right w:val="single" w:sz="4" w:space="0" w:color="auto"/>
            </w:tcBorders>
            <w:shd w:val="clear" w:color="000000" w:fill="FFFFFF"/>
            <w:noWrap/>
            <w:vAlign w:val="center"/>
            <w:hideMark/>
          </w:tcPr>
          <w:p w:rsidR="009D58C1" w:rsidRPr="009D58C1" w:rsidRDefault="009D58C1" w:rsidP="0078536B">
            <w:pPr>
              <w:jc w:val="center"/>
              <w:rPr>
                <w:rFonts w:ascii="Perpetua" w:hAnsi="Perpetua" w:cs="Calibri"/>
                <w:b/>
                <w:bCs/>
                <w:sz w:val="20"/>
                <w:szCs w:val="20"/>
              </w:rPr>
            </w:pPr>
            <w:r w:rsidRPr="009D58C1">
              <w:rPr>
                <w:rFonts w:ascii="Perpetua" w:hAnsi="Perpetua" w:cs="Calibri"/>
                <w:b/>
                <w:bCs/>
                <w:sz w:val="20"/>
                <w:szCs w:val="20"/>
              </w:rPr>
              <w:t xml:space="preserve">Comune </w:t>
            </w:r>
          </w:p>
        </w:tc>
        <w:tc>
          <w:tcPr>
            <w:tcW w:w="1559" w:type="dxa"/>
            <w:tcBorders>
              <w:top w:val="single" w:sz="8" w:space="0" w:color="auto"/>
              <w:left w:val="nil"/>
              <w:bottom w:val="single" w:sz="4" w:space="0" w:color="auto"/>
              <w:right w:val="single" w:sz="8" w:space="0" w:color="auto"/>
            </w:tcBorders>
            <w:shd w:val="clear" w:color="000000" w:fill="0070C0"/>
            <w:noWrap/>
            <w:vAlign w:val="center"/>
            <w:hideMark/>
          </w:tcPr>
          <w:p w:rsidR="009D58C1" w:rsidRPr="009D58C1" w:rsidRDefault="009D58C1" w:rsidP="0078536B">
            <w:pPr>
              <w:jc w:val="center"/>
              <w:rPr>
                <w:rFonts w:ascii="Perpetua" w:hAnsi="Perpetua" w:cs="Calibri"/>
                <w:b/>
                <w:bCs/>
                <w:color w:val="FFFFFF"/>
                <w:sz w:val="20"/>
                <w:szCs w:val="20"/>
              </w:rPr>
            </w:pPr>
            <w:r w:rsidRPr="009D58C1">
              <w:rPr>
                <w:rFonts w:ascii="Perpetua" w:hAnsi="Perpetua" w:cs="Calibri"/>
                <w:b/>
                <w:bCs/>
                <w:color w:val="FFFFFF"/>
                <w:sz w:val="20"/>
                <w:szCs w:val="20"/>
              </w:rPr>
              <w:t>Totale</w:t>
            </w:r>
          </w:p>
        </w:tc>
      </w:tr>
      <w:tr w:rsidR="009D58C1" w:rsidRPr="009D58C1" w:rsidTr="0078536B">
        <w:trPr>
          <w:trHeight w:val="402"/>
        </w:trPr>
        <w:tc>
          <w:tcPr>
            <w:tcW w:w="5519"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rsidR="009D58C1" w:rsidRPr="009D58C1" w:rsidRDefault="009D58C1" w:rsidP="0078536B">
            <w:pPr>
              <w:rPr>
                <w:rFonts w:ascii="Perpetua" w:hAnsi="Perpetua" w:cs="Calibri"/>
                <w:b/>
                <w:bCs/>
                <w:color w:val="FFFFFF" w:themeColor="background1"/>
                <w:sz w:val="20"/>
                <w:szCs w:val="20"/>
              </w:rPr>
            </w:pPr>
            <w:proofErr w:type="spellStart"/>
            <w:r w:rsidRPr="009D58C1">
              <w:rPr>
                <w:rFonts w:ascii="Perpetua" w:hAnsi="Perpetua" w:cs="Calibri"/>
                <w:b/>
                <w:bCs/>
                <w:color w:val="FFFFFF" w:themeColor="background1"/>
                <w:sz w:val="20"/>
                <w:szCs w:val="20"/>
              </w:rPr>
              <w:t>TVa</w:t>
            </w:r>
            <w:proofErr w:type="spellEnd"/>
            <w:r w:rsidRPr="009D58C1">
              <w:rPr>
                <w:rFonts w:ascii="Perpetua" w:hAnsi="Perpetua" w:cs="Calibri"/>
                <w:b/>
                <w:bCs/>
                <w:color w:val="FFFFFF" w:themeColor="background1"/>
                <w:sz w:val="20"/>
                <w:szCs w:val="20"/>
              </w:rPr>
              <w:t xml:space="preserve"> dopo distribuzione delta (∑</w:t>
            </w:r>
            <w:proofErr w:type="spellStart"/>
            <w:r w:rsidRPr="009D58C1">
              <w:rPr>
                <w:rFonts w:ascii="Perpetua" w:hAnsi="Perpetua" w:cs="Calibri"/>
                <w:b/>
                <w:bCs/>
                <w:color w:val="FFFFFF" w:themeColor="background1"/>
                <w:sz w:val="20"/>
                <w:szCs w:val="20"/>
              </w:rPr>
              <w:t>Ta-</w:t>
            </w:r>
            <w:proofErr w:type="spellEnd"/>
            <w:r w:rsidRPr="009D58C1">
              <w:rPr>
                <w:rFonts w:ascii="Perpetua" w:hAnsi="Perpetua" w:cs="Calibri"/>
                <w:b/>
                <w:bCs/>
                <w:color w:val="FFFFFF" w:themeColor="background1"/>
                <w:sz w:val="20"/>
                <w:szCs w:val="20"/>
              </w:rPr>
              <w:t>∑</w:t>
            </w:r>
            <w:proofErr w:type="spellStart"/>
            <w:r w:rsidRPr="009D58C1">
              <w:rPr>
                <w:rFonts w:ascii="Perpetua" w:hAnsi="Perpetua" w:cs="Calibri"/>
                <w:b/>
                <w:bCs/>
                <w:color w:val="FFFFFF" w:themeColor="background1"/>
                <w:sz w:val="20"/>
                <w:szCs w:val="20"/>
              </w:rPr>
              <w:t>Tmax</w:t>
            </w:r>
            <w:proofErr w:type="spellEnd"/>
            <w:r w:rsidRPr="009D58C1">
              <w:rPr>
                <w:rFonts w:ascii="Perpetua" w:hAnsi="Perpetua" w:cs="Calibri"/>
                <w:b/>
                <w:bCs/>
                <w:color w:val="FFFFFF" w:themeColor="background1"/>
                <w:sz w:val="20"/>
                <w:szCs w:val="20"/>
              </w:rPr>
              <w:t xml:space="preserve">) </w:t>
            </w:r>
          </w:p>
        </w:tc>
        <w:tc>
          <w:tcPr>
            <w:tcW w:w="1493" w:type="dxa"/>
            <w:tcBorders>
              <w:top w:val="single" w:sz="8" w:space="0" w:color="auto"/>
              <w:left w:val="nil"/>
              <w:bottom w:val="single" w:sz="4" w:space="0" w:color="auto"/>
              <w:right w:val="single" w:sz="4" w:space="0" w:color="auto"/>
            </w:tcBorders>
            <w:shd w:val="clear" w:color="000000" w:fill="FFFFFF"/>
            <w:noWrap/>
            <w:hideMark/>
          </w:tcPr>
          <w:p w:rsidR="009D58C1" w:rsidRPr="009D58C1" w:rsidRDefault="009D58C1" w:rsidP="0078536B">
            <w:pPr>
              <w:jc w:val="right"/>
              <w:rPr>
                <w:rFonts w:ascii="Perpetua" w:hAnsi="Perpetua" w:cs="Calibri"/>
                <w:b/>
                <w:bCs/>
                <w:sz w:val="20"/>
                <w:szCs w:val="20"/>
              </w:rPr>
            </w:pPr>
            <w:r w:rsidRPr="009D58C1">
              <w:rPr>
                <w:rFonts w:ascii="Perpetua" w:hAnsi="Perpetua"/>
                <w:sz w:val="20"/>
                <w:szCs w:val="20"/>
              </w:rPr>
              <w:t xml:space="preserve"> 1.139.530 </w:t>
            </w:r>
          </w:p>
        </w:tc>
        <w:tc>
          <w:tcPr>
            <w:tcW w:w="1342" w:type="dxa"/>
            <w:tcBorders>
              <w:top w:val="single" w:sz="8" w:space="0" w:color="auto"/>
              <w:left w:val="nil"/>
              <w:bottom w:val="single" w:sz="4" w:space="0" w:color="auto"/>
              <w:right w:val="single" w:sz="4" w:space="0" w:color="auto"/>
            </w:tcBorders>
            <w:shd w:val="clear" w:color="000000" w:fill="FFFFFF"/>
            <w:noWrap/>
            <w:hideMark/>
          </w:tcPr>
          <w:p w:rsidR="009D58C1" w:rsidRPr="009D58C1" w:rsidRDefault="009D58C1" w:rsidP="0078536B">
            <w:pPr>
              <w:jc w:val="right"/>
              <w:rPr>
                <w:rFonts w:ascii="Perpetua" w:hAnsi="Perpetua" w:cs="Calibri"/>
                <w:b/>
                <w:bCs/>
                <w:sz w:val="20"/>
                <w:szCs w:val="20"/>
              </w:rPr>
            </w:pPr>
            <w:r w:rsidRPr="009D58C1">
              <w:rPr>
                <w:rFonts w:ascii="Perpetua" w:hAnsi="Perpetua"/>
                <w:sz w:val="20"/>
                <w:szCs w:val="20"/>
              </w:rPr>
              <w:t xml:space="preserve"> 708.061 </w:t>
            </w:r>
          </w:p>
        </w:tc>
        <w:tc>
          <w:tcPr>
            <w:tcW w:w="1559" w:type="dxa"/>
            <w:tcBorders>
              <w:top w:val="single" w:sz="8" w:space="0" w:color="auto"/>
              <w:left w:val="nil"/>
              <w:bottom w:val="single" w:sz="4" w:space="0" w:color="auto"/>
              <w:right w:val="single" w:sz="8" w:space="0" w:color="auto"/>
            </w:tcBorders>
            <w:shd w:val="clear" w:color="000000" w:fill="0070C0"/>
            <w:noWrap/>
            <w:hideMark/>
          </w:tcPr>
          <w:p w:rsidR="009D58C1" w:rsidRPr="009D58C1" w:rsidRDefault="009D58C1" w:rsidP="0078536B">
            <w:pPr>
              <w:jc w:val="right"/>
              <w:rPr>
                <w:rFonts w:ascii="Perpetua" w:hAnsi="Perpetua" w:cs="Calibri"/>
                <w:b/>
                <w:bCs/>
                <w:color w:val="FFFFFF" w:themeColor="background1"/>
                <w:sz w:val="20"/>
                <w:szCs w:val="20"/>
              </w:rPr>
            </w:pPr>
            <w:r w:rsidRPr="009D58C1">
              <w:rPr>
                <w:rFonts w:ascii="Perpetua" w:hAnsi="Perpetua"/>
                <w:b/>
                <w:bCs/>
                <w:color w:val="FFFFFF" w:themeColor="background1"/>
                <w:sz w:val="20"/>
                <w:szCs w:val="20"/>
              </w:rPr>
              <w:t xml:space="preserve"> 1.847.591 </w:t>
            </w:r>
          </w:p>
        </w:tc>
      </w:tr>
      <w:tr w:rsidR="009D58C1" w:rsidRPr="009D58C1" w:rsidTr="0078536B">
        <w:trPr>
          <w:trHeight w:val="402"/>
        </w:trPr>
        <w:tc>
          <w:tcPr>
            <w:tcW w:w="5519" w:type="dxa"/>
            <w:tcBorders>
              <w:top w:val="nil"/>
              <w:left w:val="single" w:sz="8" w:space="0" w:color="auto"/>
              <w:bottom w:val="single" w:sz="8" w:space="0" w:color="auto"/>
              <w:right w:val="single" w:sz="8" w:space="0" w:color="auto"/>
            </w:tcBorders>
            <w:shd w:val="clear" w:color="000000" w:fill="2F75B5"/>
            <w:noWrap/>
            <w:vAlign w:val="center"/>
            <w:hideMark/>
          </w:tcPr>
          <w:p w:rsidR="009D58C1" w:rsidRPr="009D58C1" w:rsidRDefault="009D58C1" w:rsidP="0078536B">
            <w:pPr>
              <w:rPr>
                <w:rFonts w:ascii="Perpetua" w:hAnsi="Perpetua" w:cs="Calibri"/>
                <w:b/>
                <w:bCs/>
                <w:color w:val="FFFFFF" w:themeColor="background1"/>
                <w:sz w:val="20"/>
                <w:szCs w:val="20"/>
              </w:rPr>
            </w:pPr>
            <w:proofErr w:type="spellStart"/>
            <w:r w:rsidRPr="009D58C1">
              <w:rPr>
                <w:rFonts w:ascii="Perpetua" w:hAnsi="Perpetua" w:cs="Calibri"/>
                <w:b/>
                <w:bCs/>
                <w:color w:val="FFFFFF" w:themeColor="background1"/>
                <w:sz w:val="20"/>
                <w:szCs w:val="20"/>
              </w:rPr>
              <w:t>TFa</w:t>
            </w:r>
            <w:proofErr w:type="spellEnd"/>
            <w:r w:rsidRPr="009D58C1">
              <w:rPr>
                <w:rFonts w:ascii="Perpetua" w:hAnsi="Perpetua" w:cs="Calibri"/>
                <w:b/>
                <w:bCs/>
                <w:color w:val="FFFFFF" w:themeColor="background1"/>
                <w:sz w:val="20"/>
                <w:szCs w:val="20"/>
              </w:rPr>
              <w:t xml:space="preserve"> dopo distribuzione delta (∑</w:t>
            </w:r>
            <w:proofErr w:type="spellStart"/>
            <w:r w:rsidRPr="009D58C1">
              <w:rPr>
                <w:rFonts w:ascii="Perpetua" w:hAnsi="Perpetua" w:cs="Calibri"/>
                <w:b/>
                <w:bCs/>
                <w:color w:val="FFFFFF" w:themeColor="background1"/>
                <w:sz w:val="20"/>
                <w:szCs w:val="20"/>
              </w:rPr>
              <w:t>Ta-</w:t>
            </w:r>
            <w:proofErr w:type="spellEnd"/>
            <w:r w:rsidRPr="009D58C1">
              <w:rPr>
                <w:rFonts w:ascii="Perpetua" w:hAnsi="Perpetua" w:cs="Calibri"/>
                <w:b/>
                <w:bCs/>
                <w:color w:val="FFFFFF" w:themeColor="background1"/>
                <w:sz w:val="20"/>
                <w:szCs w:val="20"/>
              </w:rPr>
              <w:t>∑</w:t>
            </w:r>
            <w:proofErr w:type="spellStart"/>
            <w:r w:rsidRPr="009D58C1">
              <w:rPr>
                <w:rFonts w:ascii="Perpetua" w:hAnsi="Perpetua" w:cs="Calibri"/>
                <w:b/>
                <w:bCs/>
                <w:color w:val="FFFFFF" w:themeColor="background1"/>
                <w:sz w:val="20"/>
                <w:szCs w:val="20"/>
              </w:rPr>
              <w:t>Tmax</w:t>
            </w:r>
            <w:proofErr w:type="spellEnd"/>
            <w:r w:rsidRPr="009D58C1">
              <w:rPr>
                <w:rFonts w:ascii="Perpetua" w:hAnsi="Perpetua" w:cs="Calibri"/>
                <w:b/>
                <w:bCs/>
                <w:color w:val="FFFFFF" w:themeColor="background1"/>
                <w:sz w:val="20"/>
                <w:szCs w:val="20"/>
              </w:rPr>
              <w:t xml:space="preserve">) </w:t>
            </w:r>
          </w:p>
        </w:tc>
        <w:tc>
          <w:tcPr>
            <w:tcW w:w="1493" w:type="dxa"/>
            <w:tcBorders>
              <w:top w:val="nil"/>
              <w:left w:val="nil"/>
              <w:bottom w:val="single" w:sz="4" w:space="0" w:color="auto"/>
              <w:right w:val="single" w:sz="4" w:space="0" w:color="auto"/>
            </w:tcBorders>
            <w:shd w:val="clear" w:color="000000" w:fill="FFFFFF"/>
            <w:noWrap/>
            <w:hideMark/>
          </w:tcPr>
          <w:p w:rsidR="009D58C1" w:rsidRPr="009D58C1" w:rsidRDefault="009D58C1" w:rsidP="0078536B">
            <w:pPr>
              <w:jc w:val="right"/>
              <w:rPr>
                <w:rFonts w:ascii="Perpetua" w:hAnsi="Perpetua" w:cs="Calibri"/>
                <w:b/>
                <w:bCs/>
                <w:sz w:val="20"/>
                <w:szCs w:val="20"/>
              </w:rPr>
            </w:pPr>
            <w:r w:rsidRPr="009D58C1">
              <w:rPr>
                <w:rFonts w:ascii="Perpetua" w:hAnsi="Perpetua"/>
                <w:sz w:val="20"/>
                <w:szCs w:val="20"/>
              </w:rPr>
              <w:t xml:space="preserve"> 446.568 </w:t>
            </w:r>
          </w:p>
        </w:tc>
        <w:tc>
          <w:tcPr>
            <w:tcW w:w="1342" w:type="dxa"/>
            <w:tcBorders>
              <w:top w:val="nil"/>
              <w:left w:val="nil"/>
              <w:bottom w:val="single" w:sz="4" w:space="0" w:color="auto"/>
              <w:right w:val="single" w:sz="4" w:space="0" w:color="auto"/>
            </w:tcBorders>
            <w:shd w:val="clear" w:color="000000" w:fill="FFFFFF"/>
            <w:noWrap/>
            <w:hideMark/>
          </w:tcPr>
          <w:p w:rsidR="009D58C1" w:rsidRPr="009D58C1" w:rsidRDefault="009D58C1" w:rsidP="0078536B">
            <w:pPr>
              <w:jc w:val="right"/>
              <w:rPr>
                <w:rFonts w:ascii="Perpetua" w:hAnsi="Perpetua" w:cs="Calibri"/>
                <w:b/>
                <w:bCs/>
                <w:sz w:val="20"/>
                <w:szCs w:val="20"/>
              </w:rPr>
            </w:pPr>
            <w:r w:rsidRPr="009D58C1">
              <w:rPr>
                <w:rFonts w:ascii="Perpetua" w:hAnsi="Perpetua"/>
                <w:sz w:val="20"/>
                <w:szCs w:val="20"/>
              </w:rPr>
              <w:t xml:space="preserve"> 564.102 </w:t>
            </w:r>
          </w:p>
        </w:tc>
        <w:tc>
          <w:tcPr>
            <w:tcW w:w="1559" w:type="dxa"/>
            <w:tcBorders>
              <w:top w:val="nil"/>
              <w:left w:val="nil"/>
              <w:bottom w:val="single" w:sz="4" w:space="0" w:color="auto"/>
              <w:right w:val="single" w:sz="8" w:space="0" w:color="auto"/>
            </w:tcBorders>
            <w:shd w:val="clear" w:color="000000" w:fill="0070C0"/>
            <w:noWrap/>
            <w:hideMark/>
          </w:tcPr>
          <w:p w:rsidR="009D58C1" w:rsidRPr="009D58C1" w:rsidRDefault="009D58C1" w:rsidP="0078536B">
            <w:pPr>
              <w:jc w:val="right"/>
              <w:rPr>
                <w:rFonts w:ascii="Perpetua" w:hAnsi="Perpetua" w:cs="Calibri"/>
                <w:b/>
                <w:bCs/>
                <w:color w:val="FFFFFF" w:themeColor="background1"/>
                <w:sz w:val="20"/>
                <w:szCs w:val="20"/>
              </w:rPr>
            </w:pPr>
            <w:r w:rsidRPr="009D58C1">
              <w:rPr>
                <w:rFonts w:ascii="Perpetua" w:hAnsi="Perpetua"/>
                <w:b/>
                <w:bCs/>
                <w:color w:val="FFFFFF" w:themeColor="background1"/>
                <w:sz w:val="20"/>
                <w:szCs w:val="20"/>
              </w:rPr>
              <w:t xml:space="preserve"> 1.010.670 </w:t>
            </w:r>
          </w:p>
        </w:tc>
      </w:tr>
      <w:tr w:rsidR="009D58C1" w:rsidRPr="009D58C1" w:rsidTr="0078536B">
        <w:trPr>
          <w:trHeight w:val="345"/>
        </w:trPr>
        <w:tc>
          <w:tcPr>
            <w:tcW w:w="5519" w:type="dxa"/>
            <w:tcBorders>
              <w:top w:val="single" w:sz="4" w:space="0" w:color="auto"/>
              <w:left w:val="single" w:sz="8" w:space="0" w:color="auto"/>
              <w:bottom w:val="single" w:sz="8" w:space="0" w:color="auto"/>
              <w:right w:val="single" w:sz="8" w:space="0" w:color="auto"/>
            </w:tcBorders>
            <w:shd w:val="clear" w:color="000000" w:fill="0070C0"/>
            <w:noWrap/>
            <w:vAlign w:val="center"/>
            <w:hideMark/>
          </w:tcPr>
          <w:p w:rsidR="009D58C1" w:rsidRPr="009D58C1" w:rsidRDefault="009D58C1" w:rsidP="0078536B">
            <w:pPr>
              <w:rPr>
                <w:rFonts w:ascii="Perpetua" w:hAnsi="Perpetua" w:cs="Calibri"/>
                <w:b/>
                <w:bCs/>
                <w:sz w:val="20"/>
                <w:szCs w:val="20"/>
              </w:rPr>
            </w:pPr>
            <w:r w:rsidRPr="009D58C1">
              <w:rPr>
                <w:rFonts w:ascii="Perpetua" w:hAnsi="Perpetua" w:cs="Calibri"/>
                <w:b/>
                <w:bCs/>
                <w:color w:val="FFFFFF" w:themeColor="background1"/>
                <w:sz w:val="20"/>
                <w:szCs w:val="20"/>
              </w:rPr>
              <w:t>Ta=TVa+TFa dopo distribuzione delta (∑</w:t>
            </w:r>
            <w:proofErr w:type="spellStart"/>
            <w:r w:rsidRPr="009D58C1">
              <w:rPr>
                <w:rFonts w:ascii="Perpetua" w:hAnsi="Perpetua" w:cs="Calibri"/>
                <w:b/>
                <w:bCs/>
                <w:color w:val="FFFFFF" w:themeColor="background1"/>
                <w:sz w:val="20"/>
                <w:szCs w:val="20"/>
              </w:rPr>
              <w:t>Ta-</w:t>
            </w:r>
            <w:proofErr w:type="spellEnd"/>
            <w:r w:rsidRPr="009D58C1">
              <w:rPr>
                <w:rFonts w:ascii="Perpetua" w:hAnsi="Perpetua" w:cs="Calibri"/>
                <w:b/>
                <w:bCs/>
                <w:color w:val="FFFFFF" w:themeColor="background1"/>
                <w:sz w:val="20"/>
                <w:szCs w:val="20"/>
              </w:rPr>
              <w:t>∑</w:t>
            </w:r>
            <w:proofErr w:type="spellStart"/>
            <w:r w:rsidRPr="009D58C1">
              <w:rPr>
                <w:rFonts w:ascii="Perpetua" w:hAnsi="Perpetua" w:cs="Calibri"/>
                <w:b/>
                <w:bCs/>
                <w:color w:val="FFFFFF" w:themeColor="background1"/>
                <w:sz w:val="20"/>
                <w:szCs w:val="20"/>
              </w:rPr>
              <w:t>Tmax</w:t>
            </w:r>
            <w:proofErr w:type="spellEnd"/>
            <w:r w:rsidRPr="009D58C1">
              <w:rPr>
                <w:rFonts w:ascii="Perpetua" w:hAnsi="Perpetua" w:cs="Calibri"/>
                <w:b/>
                <w:bCs/>
                <w:color w:val="FFFFFF" w:themeColor="background1"/>
                <w:sz w:val="20"/>
                <w:szCs w:val="20"/>
              </w:rPr>
              <w:t xml:space="preserve">) </w:t>
            </w:r>
          </w:p>
        </w:tc>
        <w:tc>
          <w:tcPr>
            <w:tcW w:w="1493" w:type="dxa"/>
            <w:tcBorders>
              <w:top w:val="nil"/>
              <w:left w:val="nil"/>
              <w:bottom w:val="single" w:sz="8" w:space="0" w:color="auto"/>
              <w:right w:val="single" w:sz="4" w:space="0" w:color="auto"/>
            </w:tcBorders>
            <w:shd w:val="clear" w:color="000000" w:fill="0070C0"/>
            <w:noWrap/>
            <w:hideMark/>
          </w:tcPr>
          <w:p w:rsidR="009D58C1" w:rsidRPr="009D58C1" w:rsidRDefault="009D58C1" w:rsidP="0078536B">
            <w:pPr>
              <w:jc w:val="right"/>
              <w:rPr>
                <w:rFonts w:ascii="Perpetua" w:hAnsi="Perpetua" w:cs="Calibri"/>
                <w:b/>
                <w:bCs/>
                <w:color w:val="FFFFFF" w:themeColor="background1"/>
                <w:sz w:val="20"/>
                <w:szCs w:val="20"/>
              </w:rPr>
            </w:pPr>
            <w:r w:rsidRPr="009D58C1">
              <w:rPr>
                <w:rFonts w:ascii="Perpetua" w:hAnsi="Perpetua"/>
                <w:b/>
                <w:bCs/>
                <w:color w:val="FFFFFF" w:themeColor="background1"/>
                <w:sz w:val="20"/>
                <w:szCs w:val="20"/>
              </w:rPr>
              <w:t xml:space="preserve"> 1.586.098 </w:t>
            </w:r>
          </w:p>
        </w:tc>
        <w:tc>
          <w:tcPr>
            <w:tcW w:w="1342" w:type="dxa"/>
            <w:tcBorders>
              <w:top w:val="nil"/>
              <w:left w:val="nil"/>
              <w:bottom w:val="single" w:sz="8" w:space="0" w:color="auto"/>
              <w:right w:val="single" w:sz="4" w:space="0" w:color="auto"/>
            </w:tcBorders>
            <w:shd w:val="clear" w:color="000000" w:fill="0070C0"/>
            <w:noWrap/>
            <w:hideMark/>
          </w:tcPr>
          <w:p w:rsidR="009D58C1" w:rsidRPr="009D58C1" w:rsidRDefault="009D58C1" w:rsidP="0078536B">
            <w:pPr>
              <w:jc w:val="right"/>
              <w:rPr>
                <w:rFonts w:ascii="Perpetua" w:hAnsi="Perpetua" w:cs="Calibri"/>
                <w:b/>
                <w:bCs/>
                <w:color w:val="FFFFFF" w:themeColor="background1"/>
                <w:sz w:val="20"/>
                <w:szCs w:val="20"/>
              </w:rPr>
            </w:pPr>
            <w:r w:rsidRPr="009D58C1">
              <w:rPr>
                <w:rFonts w:ascii="Perpetua" w:hAnsi="Perpetua"/>
                <w:b/>
                <w:bCs/>
                <w:color w:val="FFFFFF" w:themeColor="background1"/>
                <w:sz w:val="20"/>
                <w:szCs w:val="20"/>
              </w:rPr>
              <w:t xml:space="preserve"> 1.272.163 </w:t>
            </w:r>
          </w:p>
        </w:tc>
        <w:tc>
          <w:tcPr>
            <w:tcW w:w="1559" w:type="dxa"/>
            <w:tcBorders>
              <w:top w:val="nil"/>
              <w:left w:val="nil"/>
              <w:bottom w:val="single" w:sz="8" w:space="0" w:color="auto"/>
              <w:right w:val="single" w:sz="8" w:space="0" w:color="auto"/>
            </w:tcBorders>
            <w:shd w:val="clear" w:color="000000" w:fill="0070C0"/>
            <w:noWrap/>
            <w:hideMark/>
          </w:tcPr>
          <w:p w:rsidR="009D58C1" w:rsidRPr="009D58C1" w:rsidRDefault="009D58C1" w:rsidP="0078536B">
            <w:pPr>
              <w:jc w:val="right"/>
              <w:rPr>
                <w:rFonts w:ascii="Perpetua" w:hAnsi="Perpetua" w:cs="Calibri"/>
                <w:b/>
                <w:bCs/>
                <w:color w:val="FFFFFF" w:themeColor="background1"/>
                <w:sz w:val="20"/>
                <w:szCs w:val="20"/>
              </w:rPr>
            </w:pPr>
            <w:r w:rsidRPr="009D58C1">
              <w:rPr>
                <w:rFonts w:ascii="Perpetua" w:hAnsi="Perpetua"/>
                <w:b/>
                <w:bCs/>
                <w:color w:val="FFFFFF" w:themeColor="background1"/>
                <w:sz w:val="20"/>
                <w:szCs w:val="20"/>
              </w:rPr>
              <w:t xml:space="preserve"> 2.858.260 </w:t>
            </w:r>
          </w:p>
        </w:tc>
      </w:tr>
      <w:tr w:rsidR="009D58C1" w:rsidRPr="009D58C1" w:rsidTr="0078536B">
        <w:trPr>
          <w:trHeight w:val="402"/>
        </w:trPr>
        <w:tc>
          <w:tcPr>
            <w:tcW w:w="5519" w:type="dxa"/>
            <w:tcBorders>
              <w:top w:val="single" w:sz="8" w:space="0" w:color="auto"/>
              <w:left w:val="single" w:sz="8" w:space="0" w:color="auto"/>
              <w:bottom w:val="single" w:sz="8" w:space="0" w:color="auto"/>
              <w:right w:val="nil"/>
            </w:tcBorders>
            <w:shd w:val="clear" w:color="000000" w:fill="2F75B5"/>
            <w:noWrap/>
            <w:vAlign w:val="center"/>
            <w:hideMark/>
          </w:tcPr>
          <w:p w:rsidR="009D58C1" w:rsidRPr="009D58C1" w:rsidRDefault="009D58C1" w:rsidP="0078536B">
            <w:pPr>
              <w:rPr>
                <w:rFonts w:ascii="Perpetua" w:hAnsi="Perpetua" w:cs="Calibri"/>
                <w:color w:val="FFFFFF"/>
                <w:sz w:val="20"/>
                <w:szCs w:val="20"/>
              </w:rPr>
            </w:pPr>
            <w:r w:rsidRPr="009D58C1">
              <w:rPr>
                <w:rFonts w:ascii="Perpetua" w:hAnsi="Perpetua" w:cs="Calibri"/>
                <w:color w:val="FFFFFF"/>
                <w:sz w:val="20"/>
                <w:szCs w:val="20"/>
              </w:rPr>
              <w:t>Detrazioni di cui al comma 1.4 della Determina n. 2/DRIF/2021 - parte variabile</w:t>
            </w:r>
          </w:p>
        </w:tc>
        <w:tc>
          <w:tcPr>
            <w:tcW w:w="1493" w:type="dxa"/>
            <w:tcBorders>
              <w:top w:val="single" w:sz="8" w:space="0" w:color="auto"/>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single" w:sz="8" w:space="0" w:color="auto"/>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single" w:sz="8" w:space="0" w:color="auto"/>
              <w:left w:val="single" w:sz="8" w:space="0" w:color="auto"/>
              <w:bottom w:val="nil"/>
              <w:right w:val="single" w:sz="8" w:space="0" w:color="auto"/>
            </w:tcBorders>
            <w:shd w:val="clear" w:color="000000" w:fill="FFF2CC"/>
            <w:noWrap/>
            <w:vAlign w:val="center"/>
            <w:hideMark/>
          </w:tcPr>
          <w:p w:rsidR="009D58C1" w:rsidRPr="009D58C1" w:rsidRDefault="009D58C1" w:rsidP="0078536B">
            <w:pPr>
              <w:jc w:val="right"/>
              <w:rPr>
                <w:rFonts w:ascii="Perpetua" w:hAnsi="Perpetua" w:cs="Calibri"/>
                <w:color w:val="000000"/>
                <w:sz w:val="20"/>
                <w:szCs w:val="20"/>
              </w:rPr>
            </w:pPr>
          </w:p>
        </w:tc>
      </w:tr>
      <w:tr w:rsidR="009D58C1" w:rsidRPr="009D58C1" w:rsidTr="0078536B">
        <w:trPr>
          <w:trHeight w:val="402"/>
        </w:trPr>
        <w:tc>
          <w:tcPr>
            <w:tcW w:w="5519" w:type="dxa"/>
            <w:tcBorders>
              <w:top w:val="nil"/>
              <w:left w:val="single" w:sz="8" w:space="0" w:color="auto"/>
              <w:bottom w:val="single" w:sz="8" w:space="0" w:color="auto"/>
              <w:right w:val="nil"/>
            </w:tcBorders>
            <w:shd w:val="clear" w:color="000000" w:fill="2F75B5"/>
            <w:noWrap/>
            <w:vAlign w:val="center"/>
            <w:hideMark/>
          </w:tcPr>
          <w:p w:rsidR="009D58C1" w:rsidRPr="009D58C1" w:rsidRDefault="009D58C1" w:rsidP="0078536B">
            <w:pPr>
              <w:rPr>
                <w:rFonts w:ascii="Perpetua" w:hAnsi="Perpetua" w:cs="Calibri"/>
                <w:color w:val="FFFFFF"/>
                <w:sz w:val="20"/>
                <w:szCs w:val="20"/>
              </w:rPr>
            </w:pPr>
            <w:r w:rsidRPr="009D58C1">
              <w:rPr>
                <w:rFonts w:ascii="Perpetua" w:hAnsi="Perpetua" w:cs="Calibri"/>
                <w:color w:val="FFFFFF"/>
                <w:sz w:val="20"/>
                <w:szCs w:val="20"/>
              </w:rPr>
              <w:t>Detrazioni di cui al comma 1.4 della Determina n. 2/DRIF/2021 - parte fissa</w:t>
            </w:r>
          </w:p>
        </w:tc>
        <w:tc>
          <w:tcPr>
            <w:tcW w:w="1493" w:type="dxa"/>
            <w:tcBorders>
              <w:top w:val="nil"/>
              <w:left w:val="nil"/>
              <w:bottom w:val="single" w:sz="8"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nil"/>
              <w:left w:val="nil"/>
              <w:bottom w:val="single" w:sz="8"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single" w:sz="4" w:space="0" w:color="auto"/>
              <w:left w:val="single" w:sz="8" w:space="0" w:color="auto"/>
              <w:bottom w:val="single" w:sz="8" w:space="0" w:color="auto"/>
              <w:right w:val="single" w:sz="8" w:space="0" w:color="auto"/>
            </w:tcBorders>
            <w:shd w:val="clear" w:color="000000" w:fill="FFF2CC"/>
            <w:noWrap/>
            <w:vAlign w:val="center"/>
            <w:hideMark/>
          </w:tcPr>
          <w:p w:rsidR="009D58C1" w:rsidRPr="009D58C1" w:rsidRDefault="009D58C1" w:rsidP="0078536B">
            <w:pPr>
              <w:jc w:val="right"/>
              <w:rPr>
                <w:rFonts w:ascii="Perpetua" w:hAnsi="Perpetua" w:cs="Calibri"/>
                <w:color w:val="000000"/>
                <w:sz w:val="20"/>
                <w:szCs w:val="20"/>
              </w:rPr>
            </w:pPr>
          </w:p>
        </w:tc>
      </w:tr>
      <w:tr w:rsidR="009D58C1" w:rsidRPr="009D58C1" w:rsidTr="0078536B">
        <w:trPr>
          <w:trHeight w:val="345"/>
        </w:trPr>
        <w:tc>
          <w:tcPr>
            <w:tcW w:w="5519" w:type="dxa"/>
            <w:tcBorders>
              <w:top w:val="nil"/>
              <w:left w:val="nil"/>
              <w:bottom w:val="single" w:sz="8" w:space="0" w:color="auto"/>
              <w:right w:val="nil"/>
            </w:tcBorders>
            <w:shd w:val="clear" w:color="000000" w:fill="FFFFFF"/>
            <w:noWrap/>
            <w:vAlign w:val="center"/>
            <w:hideMark/>
          </w:tcPr>
          <w:p w:rsidR="009D58C1" w:rsidRPr="009D58C1" w:rsidRDefault="009D58C1" w:rsidP="0078536B">
            <w:pPr>
              <w:rPr>
                <w:rFonts w:ascii="Perpetua" w:hAnsi="Perpetua" w:cs="Calibri"/>
                <w:color w:val="000000"/>
                <w:sz w:val="20"/>
                <w:szCs w:val="20"/>
              </w:rPr>
            </w:pPr>
            <w:r w:rsidRPr="009D58C1">
              <w:rPr>
                <w:rFonts w:ascii="Perpetua" w:hAnsi="Perpetua" w:cs="Calibri"/>
                <w:color w:val="000000"/>
                <w:sz w:val="20"/>
                <w:szCs w:val="20"/>
              </w:rPr>
              <w:t> </w:t>
            </w:r>
          </w:p>
        </w:tc>
        <w:tc>
          <w:tcPr>
            <w:tcW w:w="1493" w:type="dxa"/>
            <w:tcBorders>
              <w:top w:val="nil"/>
              <w:left w:val="nil"/>
              <w:bottom w:val="nil"/>
              <w:right w:val="nil"/>
            </w:tcBorders>
            <w:shd w:val="clear"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nil"/>
              <w:left w:val="nil"/>
              <w:bottom w:val="nil"/>
              <w:right w:val="nil"/>
            </w:tcBorders>
            <w:shd w:val="clear"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nil"/>
              <w:left w:val="nil"/>
              <w:bottom w:val="nil"/>
              <w:right w:val="nil"/>
            </w:tcBorders>
            <w:shd w:val="clear"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r>
      <w:tr w:rsidR="009D58C1" w:rsidRPr="009D58C1" w:rsidTr="0078536B">
        <w:trPr>
          <w:trHeight w:val="612"/>
        </w:trPr>
        <w:tc>
          <w:tcPr>
            <w:tcW w:w="5519" w:type="dxa"/>
            <w:tcBorders>
              <w:top w:val="nil"/>
              <w:left w:val="single" w:sz="8" w:space="0" w:color="auto"/>
              <w:bottom w:val="single" w:sz="8" w:space="0" w:color="auto"/>
              <w:right w:val="single" w:sz="8" w:space="0" w:color="auto"/>
            </w:tcBorders>
            <w:shd w:val="clear" w:color="000000" w:fill="0070C0"/>
            <w:vAlign w:val="center"/>
            <w:hideMark/>
          </w:tcPr>
          <w:p w:rsidR="009D58C1" w:rsidRPr="009D58C1" w:rsidRDefault="009D58C1" w:rsidP="0078536B">
            <w:pPr>
              <w:rPr>
                <w:rFonts w:ascii="Perpetua" w:hAnsi="Perpetua" w:cs="Calibri"/>
                <w:b/>
                <w:bCs/>
                <w:color w:val="FFFFFF"/>
                <w:sz w:val="20"/>
                <w:szCs w:val="20"/>
              </w:rPr>
            </w:pPr>
            <w:r w:rsidRPr="009D58C1">
              <w:rPr>
                <w:rFonts w:ascii="Perpetua" w:hAnsi="Perpetua" w:cs="Calibri"/>
                <w:b/>
                <w:bCs/>
                <w:i/>
                <w:iCs/>
                <w:color w:val="FFFFFF"/>
                <w:sz w:val="20"/>
                <w:szCs w:val="20"/>
              </w:rPr>
              <w:t>∑</w:t>
            </w:r>
            <w:proofErr w:type="spellStart"/>
            <w:r w:rsidRPr="009D58C1">
              <w:rPr>
                <w:rFonts w:ascii="Perpetua" w:hAnsi="Perpetua" w:cs="Calibri"/>
                <w:b/>
                <w:bCs/>
                <w:i/>
                <w:iCs/>
                <w:color w:val="FFFFFF"/>
                <w:sz w:val="20"/>
                <w:szCs w:val="20"/>
              </w:rPr>
              <w:t>TV</w:t>
            </w:r>
            <w:r w:rsidRPr="009D58C1">
              <w:rPr>
                <w:rFonts w:ascii="Perpetua" w:hAnsi="Perpetua" w:cs="Calibri"/>
                <w:b/>
                <w:bCs/>
                <w:i/>
                <w:iCs/>
                <w:color w:val="FFFFFF"/>
                <w:sz w:val="20"/>
                <w:szCs w:val="20"/>
                <w:vertAlign w:val="subscript"/>
              </w:rPr>
              <w:t>a</w:t>
            </w:r>
            <w:proofErr w:type="spellEnd"/>
            <w:r w:rsidRPr="009D58C1">
              <w:rPr>
                <w:rFonts w:ascii="Perpetua" w:hAnsi="Perpetua" w:cs="Calibri"/>
                <w:b/>
                <w:bCs/>
                <w:color w:val="FFFFFF"/>
                <w:sz w:val="20"/>
                <w:szCs w:val="20"/>
              </w:rPr>
              <w:t xml:space="preserve"> totale delle entrate tariffarie relative alle componenti di costo variabile dopo le detrazioni di cui al comma 1.4 della Determina n.2/DRIF/2021 </w:t>
            </w:r>
          </w:p>
        </w:tc>
        <w:tc>
          <w:tcPr>
            <w:tcW w:w="1493" w:type="dxa"/>
            <w:tcBorders>
              <w:top w:val="single" w:sz="8" w:space="0" w:color="auto"/>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single" w:sz="8" w:space="0" w:color="auto"/>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single" w:sz="8" w:space="0" w:color="auto"/>
              <w:left w:val="nil"/>
              <w:bottom w:val="single" w:sz="4" w:space="0" w:color="auto"/>
              <w:right w:val="single" w:sz="8" w:space="0" w:color="auto"/>
            </w:tcBorders>
            <w:shd w:val="clear" w:color="000000" w:fill="FFFFFF"/>
            <w:noWrap/>
            <w:hideMark/>
          </w:tcPr>
          <w:p w:rsidR="009D58C1" w:rsidRPr="009D58C1" w:rsidRDefault="009D58C1" w:rsidP="0078536B">
            <w:pPr>
              <w:jc w:val="right"/>
              <w:rPr>
                <w:rFonts w:ascii="Perpetua" w:hAnsi="Perpetua" w:cs="Calibri"/>
                <w:color w:val="000000"/>
                <w:sz w:val="20"/>
                <w:szCs w:val="20"/>
              </w:rPr>
            </w:pPr>
            <w:r w:rsidRPr="009D58C1">
              <w:rPr>
                <w:rFonts w:ascii="Perpetua" w:hAnsi="Perpetua"/>
                <w:sz w:val="20"/>
                <w:szCs w:val="20"/>
              </w:rPr>
              <w:t xml:space="preserve"> 1.847.591 </w:t>
            </w:r>
          </w:p>
        </w:tc>
      </w:tr>
      <w:tr w:rsidR="009D58C1" w:rsidRPr="009D58C1" w:rsidTr="0078536B">
        <w:trPr>
          <w:trHeight w:val="648"/>
        </w:trPr>
        <w:tc>
          <w:tcPr>
            <w:tcW w:w="5519" w:type="dxa"/>
            <w:tcBorders>
              <w:top w:val="single" w:sz="4" w:space="0" w:color="auto"/>
              <w:left w:val="single" w:sz="8" w:space="0" w:color="auto"/>
              <w:bottom w:val="single" w:sz="8" w:space="0" w:color="auto"/>
              <w:right w:val="single" w:sz="8" w:space="0" w:color="auto"/>
            </w:tcBorders>
            <w:shd w:val="clear" w:color="000000" w:fill="0070C0"/>
            <w:vAlign w:val="center"/>
            <w:hideMark/>
          </w:tcPr>
          <w:p w:rsidR="009D58C1" w:rsidRPr="009D58C1" w:rsidRDefault="009D58C1" w:rsidP="0078536B">
            <w:pPr>
              <w:rPr>
                <w:rFonts w:ascii="Perpetua" w:hAnsi="Perpetua" w:cs="Calibri"/>
                <w:b/>
                <w:bCs/>
                <w:color w:val="FFFFFF"/>
                <w:sz w:val="20"/>
                <w:szCs w:val="20"/>
              </w:rPr>
            </w:pPr>
            <w:r w:rsidRPr="009D58C1">
              <w:rPr>
                <w:rFonts w:ascii="Perpetua" w:hAnsi="Perpetua" w:cs="Calibri"/>
                <w:b/>
                <w:bCs/>
                <w:i/>
                <w:iCs/>
                <w:color w:val="FFFFFF"/>
                <w:sz w:val="20"/>
                <w:szCs w:val="20"/>
              </w:rPr>
              <w:t>∑</w:t>
            </w:r>
            <w:proofErr w:type="spellStart"/>
            <w:r w:rsidRPr="009D58C1">
              <w:rPr>
                <w:rFonts w:ascii="Perpetua" w:hAnsi="Perpetua" w:cs="Calibri"/>
                <w:b/>
                <w:bCs/>
                <w:i/>
                <w:iCs/>
                <w:color w:val="FFFFFF"/>
                <w:sz w:val="20"/>
                <w:szCs w:val="20"/>
              </w:rPr>
              <w:t>TF</w:t>
            </w:r>
            <w:r w:rsidRPr="009D58C1">
              <w:rPr>
                <w:rFonts w:ascii="Perpetua" w:hAnsi="Perpetua" w:cs="Calibri"/>
                <w:b/>
                <w:bCs/>
                <w:i/>
                <w:iCs/>
                <w:color w:val="FFFFFF"/>
                <w:sz w:val="20"/>
                <w:szCs w:val="20"/>
                <w:vertAlign w:val="subscript"/>
              </w:rPr>
              <w:t>a</w:t>
            </w:r>
            <w:proofErr w:type="spellEnd"/>
            <w:r w:rsidRPr="009D58C1">
              <w:rPr>
                <w:rFonts w:ascii="Perpetua" w:hAnsi="Perpetua" w:cs="Calibri"/>
                <w:b/>
                <w:bCs/>
                <w:color w:val="FFFFFF"/>
                <w:sz w:val="20"/>
                <w:szCs w:val="20"/>
              </w:rPr>
              <w:t xml:space="preserve"> totale delle entrate tariffarie relative alle componenti di costo fisso dopo le detrazioni di cui al comma 1.4 della Determina n.2/DRIF/2021</w:t>
            </w:r>
          </w:p>
        </w:tc>
        <w:tc>
          <w:tcPr>
            <w:tcW w:w="1493" w:type="dxa"/>
            <w:tcBorders>
              <w:top w:val="nil"/>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nil"/>
              <w:left w:val="nil"/>
              <w:bottom w:val="single" w:sz="4"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nil"/>
              <w:left w:val="nil"/>
              <w:bottom w:val="single" w:sz="4" w:space="0" w:color="auto"/>
              <w:right w:val="single" w:sz="8" w:space="0" w:color="auto"/>
            </w:tcBorders>
            <w:shd w:val="clear" w:color="000000" w:fill="FFFFFF"/>
            <w:noWrap/>
            <w:hideMark/>
          </w:tcPr>
          <w:p w:rsidR="009D58C1" w:rsidRPr="009D58C1" w:rsidRDefault="009D58C1" w:rsidP="0078536B">
            <w:pPr>
              <w:jc w:val="right"/>
              <w:rPr>
                <w:rFonts w:ascii="Perpetua" w:hAnsi="Perpetua" w:cs="Calibri"/>
                <w:color w:val="000000"/>
                <w:sz w:val="20"/>
                <w:szCs w:val="20"/>
              </w:rPr>
            </w:pPr>
            <w:r w:rsidRPr="00347761">
              <w:rPr>
                <w:rFonts w:ascii="Perpetua" w:hAnsi="Perpetua" w:cs="Calibri"/>
                <w:color w:val="000000"/>
                <w:sz w:val="20"/>
                <w:szCs w:val="20"/>
              </w:rPr>
              <w:t xml:space="preserve"> 1.010.670 </w:t>
            </w:r>
          </w:p>
        </w:tc>
      </w:tr>
      <w:tr w:rsidR="009D58C1" w:rsidRPr="009D58C1" w:rsidTr="0078536B">
        <w:trPr>
          <w:trHeight w:val="615"/>
        </w:trPr>
        <w:tc>
          <w:tcPr>
            <w:tcW w:w="5519" w:type="dxa"/>
            <w:tcBorders>
              <w:top w:val="single" w:sz="4" w:space="0" w:color="auto"/>
              <w:left w:val="single" w:sz="8" w:space="0" w:color="auto"/>
              <w:bottom w:val="single" w:sz="8" w:space="0" w:color="auto"/>
              <w:right w:val="single" w:sz="8" w:space="0" w:color="auto"/>
            </w:tcBorders>
            <w:shd w:val="clear" w:color="000000" w:fill="0070C0"/>
            <w:noWrap/>
            <w:vAlign w:val="center"/>
            <w:hideMark/>
          </w:tcPr>
          <w:p w:rsidR="009D58C1" w:rsidRPr="009D58C1" w:rsidRDefault="009D58C1" w:rsidP="0078536B">
            <w:pPr>
              <w:rPr>
                <w:rFonts w:ascii="Perpetua" w:hAnsi="Perpetua" w:cs="Calibri"/>
                <w:b/>
                <w:bCs/>
                <w:color w:val="FFFFFF"/>
                <w:sz w:val="20"/>
                <w:szCs w:val="20"/>
              </w:rPr>
            </w:pPr>
            <w:r w:rsidRPr="009D58C1">
              <w:rPr>
                <w:rFonts w:ascii="Perpetua" w:hAnsi="Perpetua" w:cs="Calibri"/>
                <w:b/>
                <w:bCs/>
                <w:color w:val="FFFFFF"/>
                <w:sz w:val="20"/>
                <w:szCs w:val="20"/>
              </w:rPr>
              <w:t>Totale entrate tariffarie dopo le detrazioni di cui al comma 1.4 della Determina n.2/DRIF/2021</w:t>
            </w:r>
          </w:p>
        </w:tc>
        <w:tc>
          <w:tcPr>
            <w:tcW w:w="1493" w:type="dxa"/>
            <w:tcBorders>
              <w:top w:val="nil"/>
              <w:left w:val="nil"/>
              <w:bottom w:val="single" w:sz="8"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342" w:type="dxa"/>
            <w:tcBorders>
              <w:top w:val="nil"/>
              <w:left w:val="nil"/>
              <w:bottom w:val="single" w:sz="8" w:space="0" w:color="auto"/>
              <w:right w:val="single" w:sz="4" w:space="0" w:color="auto"/>
            </w:tcBorders>
            <w:shd w:val="pct12" w:color="000000" w:fill="FFFFFF"/>
            <w:noWrap/>
            <w:vAlign w:val="center"/>
            <w:hideMark/>
          </w:tcPr>
          <w:p w:rsidR="009D58C1" w:rsidRPr="009D58C1" w:rsidRDefault="009D58C1" w:rsidP="0078536B">
            <w:pPr>
              <w:jc w:val="right"/>
              <w:rPr>
                <w:rFonts w:ascii="Perpetua" w:hAnsi="Perpetua" w:cs="Calibri"/>
                <w:color w:val="000000"/>
                <w:sz w:val="20"/>
                <w:szCs w:val="20"/>
              </w:rPr>
            </w:pPr>
            <w:r w:rsidRPr="009D58C1">
              <w:rPr>
                <w:rFonts w:ascii="Perpetua" w:hAnsi="Perpetua"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9D58C1" w:rsidRPr="009D58C1" w:rsidRDefault="009D58C1" w:rsidP="0078536B">
            <w:pPr>
              <w:jc w:val="right"/>
              <w:rPr>
                <w:rFonts w:ascii="Perpetua" w:hAnsi="Perpetua" w:cs="Calibri"/>
                <w:b/>
                <w:bCs/>
                <w:color w:val="000000"/>
                <w:sz w:val="20"/>
                <w:szCs w:val="20"/>
              </w:rPr>
            </w:pPr>
            <w:r w:rsidRPr="009D58C1">
              <w:rPr>
                <w:rFonts w:ascii="Perpetua" w:hAnsi="Perpetua"/>
                <w:sz w:val="20"/>
                <w:szCs w:val="20"/>
              </w:rPr>
              <w:t xml:space="preserve"> 2.858.260 </w:t>
            </w:r>
          </w:p>
        </w:tc>
      </w:tr>
    </w:tbl>
    <w:p w:rsidR="009D58C1" w:rsidRPr="00BA1FD9" w:rsidRDefault="009D58C1" w:rsidP="006B602D">
      <w:pPr>
        <w:spacing w:before="57" w:after="57" w:line="276" w:lineRule="auto"/>
        <w:jc w:val="both"/>
        <w:rPr>
          <w:rFonts w:ascii="Perpetua" w:hAnsi="Perpetua" w:cs="Times New Roman"/>
          <w:b/>
          <w:bCs/>
        </w:rPr>
      </w:pPr>
    </w:p>
    <w:p w:rsidR="00095137" w:rsidRPr="00BA1FD9" w:rsidRDefault="00095137" w:rsidP="006B602D">
      <w:pPr>
        <w:spacing w:before="57" w:after="57" w:line="276" w:lineRule="auto"/>
        <w:jc w:val="both"/>
        <w:rPr>
          <w:rFonts w:ascii="Perpetua" w:hAnsi="Perpetua" w:cs="Times New Roman"/>
          <w:b/>
          <w:bCs/>
        </w:rPr>
      </w:pPr>
      <w:r w:rsidRPr="00BA1FD9">
        <w:rPr>
          <w:rFonts w:ascii="Perpetua" w:hAnsi="Perpetua" w:cs="Times New Roman"/>
          <w:b/>
          <w:bCs/>
        </w:rPr>
        <w:t>Anno 2025</w:t>
      </w:r>
    </w:p>
    <w:tbl>
      <w:tblPr>
        <w:tblW w:w="9913" w:type="dxa"/>
        <w:tblCellMar>
          <w:left w:w="70" w:type="dxa"/>
          <w:right w:w="70" w:type="dxa"/>
        </w:tblCellMar>
        <w:tblLook w:val="04A0"/>
      </w:tblPr>
      <w:tblGrid>
        <w:gridCol w:w="5519"/>
        <w:gridCol w:w="1493"/>
        <w:gridCol w:w="1342"/>
        <w:gridCol w:w="1559"/>
      </w:tblGrid>
      <w:tr w:rsidR="00044932" w:rsidRPr="004E72D3" w:rsidTr="0078536B">
        <w:trPr>
          <w:trHeight w:val="402"/>
        </w:trPr>
        <w:tc>
          <w:tcPr>
            <w:tcW w:w="5519"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rsidR="00044932" w:rsidRPr="004E72D3" w:rsidRDefault="00044932" w:rsidP="0078536B">
            <w:pPr>
              <w:rPr>
                <w:rFonts w:ascii="Perpetua" w:hAnsi="Perpetua" w:cs="Calibri"/>
                <w:color w:val="FFFFFF"/>
                <w:sz w:val="20"/>
                <w:szCs w:val="20"/>
              </w:rPr>
            </w:pPr>
            <w:bookmarkStart w:id="0" w:name="_Hlk161254172"/>
          </w:p>
        </w:tc>
        <w:tc>
          <w:tcPr>
            <w:tcW w:w="1493" w:type="dxa"/>
            <w:tcBorders>
              <w:top w:val="single" w:sz="8" w:space="0" w:color="auto"/>
              <w:left w:val="nil"/>
              <w:bottom w:val="single" w:sz="4" w:space="0" w:color="auto"/>
              <w:right w:val="single" w:sz="4" w:space="0" w:color="auto"/>
            </w:tcBorders>
            <w:shd w:val="clear" w:color="000000" w:fill="FFFFFF"/>
            <w:noWrap/>
            <w:vAlign w:val="center"/>
            <w:hideMark/>
          </w:tcPr>
          <w:p w:rsidR="00044932" w:rsidRPr="004E72D3" w:rsidRDefault="00044932" w:rsidP="0078536B">
            <w:pPr>
              <w:jc w:val="center"/>
              <w:rPr>
                <w:rFonts w:ascii="Perpetua" w:hAnsi="Perpetua" w:cs="Calibri"/>
                <w:b/>
                <w:bCs/>
                <w:sz w:val="20"/>
                <w:szCs w:val="20"/>
              </w:rPr>
            </w:pPr>
            <w:proofErr w:type="spellStart"/>
            <w:r w:rsidRPr="004E72D3">
              <w:rPr>
                <w:rFonts w:ascii="Perpetua" w:hAnsi="Perpetua" w:cs="Calibri"/>
                <w:b/>
                <w:bCs/>
                <w:sz w:val="20"/>
                <w:szCs w:val="20"/>
              </w:rPr>
              <w:t>Econord</w:t>
            </w:r>
            <w:proofErr w:type="spellEnd"/>
            <w:r w:rsidRPr="004E72D3">
              <w:rPr>
                <w:rFonts w:ascii="Perpetua" w:hAnsi="Perpetua" w:cs="Calibri"/>
                <w:b/>
                <w:bCs/>
                <w:sz w:val="20"/>
                <w:szCs w:val="20"/>
              </w:rPr>
              <w:t xml:space="preserve"> S.p.A.</w:t>
            </w:r>
          </w:p>
        </w:tc>
        <w:tc>
          <w:tcPr>
            <w:tcW w:w="1342" w:type="dxa"/>
            <w:tcBorders>
              <w:top w:val="single" w:sz="8" w:space="0" w:color="auto"/>
              <w:left w:val="nil"/>
              <w:bottom w:val="single" w:sz="4" w:space="0" w:color="auto"/>
              <w:right w:val="single" w:sz="4" w:space="0" w:color="auto"/>
            </w:tcBorders>
            <w:shd w:val="clear" w:color="000000" w:fill="FFFFFF"/>
            <w:noWrap/>
            <w:vAlign w:val="center"/>
            <w:hideMark/>
          </w:tcPr>
          <w:p w:rsidR="00044932" w:rsidRPr="004E72D3" w:rsidRDefault="00044932" w:rsidP="0078536B">
            <w:pPr>
              <w:jc w:val="center"/>
              <w:rPr>
                <w:rFonts w:ascii="Perpetua" w:hAnsi="Perpetua" w:cs="Calibri"/>
                <w:b/>
                <w:bCs/>
                <w:sz w:val="20"/>
                <w:szCs w:val="20"/>
              </w:rPr>
            </w:pPr>
            <w:r w:rsidRPr="004E72D3">
              <w:rPr>
                <w:rFonts w:ascii="Perpetua" w:hAnsi="Perpetua" w:cs="Calibri"/>
                <w:b/>
                <w:bCs/>
                <w:sz w:val="20"/>
                <w:szCs w:val="20"/>
              </w:rPr>
              <w:t xml:space="preserve">Comune </w:t>
            </w:r>
          </w:p>
        </w:tc>
        <w:tc>
          <w:tcPr>
            <w:tcW w:w="1559" w:type="dxa"/>
            <w:tcBorders>
              <w:top w:val="single" w:sz="8" w:space="0" w:color="auto"/>
              <w:left w:val="nil"/>
              <w:bottom w:val="single" w:sz="4" w:space="0" w:color="auto"/>
              <w:right w:val="single" w:sz="8" w:space="0" w:color="auto"/>
            </w:tcBorders>
            <w:shd w:val="clear" w:color="000000" w:fill="0070C0"/>
            <w:noWrap/>
            <w:vAlign w:val="center"/>
            <w:hideMark/>
          </w:tcPr>
          <w:p w:rsidR="00044932" w:rsidRPr="004E72D3" w:rsidRDefault="00044932" w:rsidP="0078536B">
            <w:pPr>
              <w:jc w:val="center"/>
              <w:rPr>
                <w:rFonts w:ascii="Perpetua" w:hAnsi="Perpetua" w:cs="Calibri"/>
                <w:b/>
                <w:bCs/>
                <w:color w:val="FFFFFF"/>
                <w:sz w:val="20"/>
                <w:szCs w:val="20"/>
              </w:rPr>
            </w:pPr>
            <w:r w:rsidRPr="004E72D3">
              <w:rPr>
                <w:rFonts w:ascii="Perpetua" w:hAnsi="Perpetua" w:cs="Calibri"/>
                <w:b/>
                <w:bCs/>
                <w:color w:val="FFFFFF"/>
                <w:sz w:val="20"/>
                <w:szCs w:val="20"/>
              </w:rPr>
              <w:t>Totale</w:t>
            </w:r>
          </w:p>
        </w:tc>
      </w:tr>
      <w:tr w:rsidR="00044932" w:rsidRPr="004E72D3" w:rsidTr="0078536B">
        <w:trPr>
          <w:trHeight w:val="402"/>
        </w:trPr>
        <w:tc>
          <w:tcPr>
            <w:tcW w:w="5519"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rsidR="00044932" w:rsidRPr="004E72D3" w:rsidRDefault="00044932" w:rsidP="0078536B">
            <w:pPr>
              <w:rPr>
                <w:rFonts w:ascii="Perpetua" w:hAnsi="Perpetua" w:cs="Calibri"/>
                <w:b/>
                <w:bCs/>
                <w:color w:val="FFFFFF" w:themeColor="background1"/>
                <w:sz w:val="20"/>
                <w:szCs w:val="20"/>
              </w:rPr>
            </w:pPr>
            <w:proofErr w:type="spellStart"/>
            <w:r w:rsidRPr="004E72D3">
              <w:rPr>
                <w:rFonts w:ascii="Perpetua" w:hAnsi="Perpetua" w:cs="Calibri"/>
                <w:b/>
                <w:bCs/>
                <w:color w:val="FFFFFF" w:themeColor="background1"/>
                <w:sz w:val="20"/>
                <w:szCs w:val="20"/>
              </w:rPr>
              <w:t>TVa</w:t>
            </w:r>
            <w:proofErr w:type="spellEnd"/>
            <w:r w:rsidRPr="004E72D3">
              <w:rPr>
                <w:rFonts w:ascii="Perpetua" w:hAnsi="Perpetua" w:cs="Calibri"/>
                <w:b/>
                <w:bCs/>
                <w:color w:val="FFFFFF" w:themeColor="background1"/>
                <w:sz w:val="20"/>
                <w:szCs w:val="20"/>
              </w:rPr>
              <w:t xml:space="preserve"> dopo distribuzione delta (∑</w:t>
            </w:r>
            <w:proofErr w:type="spellStart"/>
            <w:r w:rsidRPr="004E72D3">
              <w:rPr>
                <w:rFonts w:ascii="Perpetua" w:hAnsi="Perpetua" w:cs="Calibri"/>
                <w:b/>
                <w:bCs/>
                <w:color w:val="FFFFFF" w:themeColor="background1"/>
                <w:sz w:val="20"/>
                <w:szCs w:val="20"/>
              </w:rPr>
              <w:t>Ta-</w:t>
            </w:r>
            <w:proofErr w:type="spellEnd"/>
            <w:r w:rsidRPr="004E72D3">
              <w:rPr>
                <w:rFonts w:ascii="Perpetua" w:hAnsi="Perpetua" w:cs="Calibri"/>
                <w:b/>
                <w:bCs/>
                <w:color w:val="FFFFFF" w:themeColor="background1"/>
                <w:sz w:val="20"/>
                <w:szCs w:val="20"/>
              </w:rPr>
              <w:t>∑</w:t>
            </w:r>
            <w:proofErr w:type="spellStart"/>
            <w:r w:rsidRPr="004E72D3">
              <w:rPr>
                <w:rFonts w:ascii="Perpetua" w:hAnsi="Perpetua" w:cs="Calibri"/>
                <w:b/>
                <w:bCs/>
                <w:color w:val="FFFFFF" w:themeColor="background1"/>
                <w:sz w:val="20"/>
                <w:szCs w:val="20"/>
              </w:rPr>
              <w:t>Tmax</w:t>
            </w:r>
            <w:proofErr w:type="spellEnd"/>
            <w:r w:rsidRPr="004E72D3">
              <w:rPr>
                <w:rFonts w:ascii="Perpetua" w:hAnsi="Perpetua" w:cs="Calibri"/>
                <w:b/>
                <w:bCs/>
                <w:color w:val="FFFFFF" w:themeColor="background1"/>
                <w:sz w:val="20"/>
                <w:szCs w:val="20"/>
              </w:rPr>
              <w:t xml:space="preserve">) </w:t>
            </w:r>
          </w:p>
        </w:tc>
        <w:tc>
          <w:tcPr>
            <w:tcW w:w="1493" w:type="dxa"/>
            <w:tcBorders>
              <w:top w:val="single" w:sz="8" w:space="0" w:color="auto"/>
              <w:left w:val="nil"/>
              <w:bottom w:val="single" w:sz="4" w:space="0" w:color="auto"/>
              <w:right w:val="single" w:sz="4" w:space="0" w:color="auto"/>
            </w:tcBorders>
            <w:shd w:val="clear" w:color="000000" w:fill="FFFFFF"/>
            <w:noWrap/>
            <w:hideMark/>
          </w:tcPr>
          <w:p w:rsidR="00044932" w:rsidRPr="004E72D3" w:rsidRDefault="00044932" w:rsidP="0078536B">
            <w:pPr>
              <w:jc w:val="right"/>
              <w:rPr>
                <w:rFonts w:ascii="Perpetua" w:hAnsi="Perpetua" w:cs="Calibri"/>
                <w:b/>
                <w:bCs/>
                <w:sz w:val="20"/>
                <w:szCs w:val="20"/>
              </w:rPr>
            </w:pPr>
            <w:r w:rsidRPr="004E72D3">
              <w:rPr>
                <w:rFonts w:ascii="Perpetua" w:hAnsi="Perpetua"/>
                <w:sz w:val="20"/>
                <w:szCs w:val="20"/>
              </w:rPr>
              <w:t xml:space="preserve"> 1.167.402 </w:t>
            </w:r>
          </w:p>
        </w:tc>
        <w:tc>
          <w:tcPr>
            <w:tcW w:w="1342" w:type="dxa"/>
            <w:tcBorders>
              <w:top w:val="single" w:sz="8" w:space="0" w:color="auto"/>
              <w:left w:val="nil"/>
              <w:bottom w:val="single" w:sz="4" w:space="0" w:color="auto"/>
              <w:right w:val="single" w:sz="4" w:space="0" w:color="auto"/>
            </w:tcBorders>
            <w:shd w:val="clear" w:color="000000" w:fill="FFFFFF"/>
            <w:noWrap/>
            <w:hideMark/>
          </w:tcPr>
          <w:p w:rsidR="00044932" w:rsidRPr="004E72D3" w:rsidRDefault="00044932" w:rsidP="0078536B">
            <w:pPr>
              <w:jc w:val="right"/>
              <w:rPr>
                <w:rFonts w:ascii="Perpetua" w:hAnsi="Perpetua" w:cs="Calibri"/>
                <w:b/>
                <w:bCs/>
                <w:sz w:val="20"/>
                <w:szCs w:val="20"/>
              </w:rPr>
            </w:pPr>
            <w:r w:rsidRPr="004E72D3">
              <w:rPr>
                <w:rFonts w:ascii="Perpetua" w:hAnsi="Perpetua"/>
                <w:sz w:val="20"/>
                <w:szCs w:val="20"/>
              </w:rPr>
              <w:t xml:space="preserve"> 880.453 </w:t>
            </w:r>
          </w:p>
        </w:tc>
        <w:tc>
          <w:tcPr>
            <w:tcW w:w="1559" w:type="dxa"/>
            <w:tcBorders>
              <w:top w:val="single" w:sz="8" w:space="0" w:color="auto"/>
              <w:left w:val="nil"/>
              <w:bottom w:val="single" w:sz="4" w:space="0" w:color="auto"/>
              <w:right w:val="single" w:sz="8" w:space="0" w:color="auto"/>
            </w:tcBorders>
            <w:shd w:val="clear" w:color="000000" w:fill="0070C0"/>
            <w:noWrap/>
            <w:hideMark/>
          </w:tcPr>
          <w:p w:rsidR="00044932" w:rsidRPr="004E72D3" w:rsidRDefault="00044932" w:rsidP="0078536B">
            <w:pPr>
              <w:jc w:val="right"/>
              <w:rPr>
                <w:rFonts w:ascii="Perpetua" w:hAnsi="Perpetua" w:cs="Calibri"/>
                <w:b/>
                <w:bCs/>
                <w:color w:val="FFFFFF" w:themeColor="background1"/>
                <w:sz w:val="20"/>
                <w:szCs w:val="20"/>
              </w:rPr>
            </w:pPr>
            <w:r w:rsidRPr="004E72D3">
              <w:rPr>
                <w:rFonts w:ascii="Perpetua" w:hAnsi="Perpetua"/>
                <w:b/>
                <w:bCs/>
                <w:color w:val="FFFFFF" w:themeColor="background1"/>
                <w:sz w:val="20"/>
                <w:szCs w:val="20"/>
              </w:rPr>
              <w:t xml:space="preserve"> 2.047.854 </w:t>
            </w:r>
          </w:p>
        </w:tc>
      </w:tr>
      <w:tr w:rsidR="00044932" w:rsidRPr="004E72D3" w:rsidTr="0078536B">
        <w:trPr>
          <w:trHeight w:val="402"/>
        </w:trPr>
        <w:tc>
          <w:tcPr>
            <w:tcW w:w="5519" w:type="dxa"/>
            <w:tcBorders>
              <w:top w:val="nil"/>
              <w:left w:val="single" w:sz="8" w:space="0" w:color="auto"/>
              <w:bottom w:val="single" w:sz="8" w:space="0" w:color="auto"/>
              <w:right w:val="single" w:sz="8" w:space="0" w:color="auto"/>
            </w:tcBorders>
            <w:shd w:val="clear" w:color="000000" w:fill="2F75B5"/>
            <w:noWrap/>
            <w:vAlign w:val="center"/>
            <w:hideMark/>
          </w:tcPr>
          <w:p w:rsidR="00044932" w:rsidRPr="004E72D3" w:rsidRDefault="00044932" w:rsidP="0078536B">
            <w:pPr>
              <w:rPr>
                <w:rFonts w:ascii="Perpetua" w:hAnsi="Perpetua" w:cs="Calibri"/>
                <w:b/>
                <w:bCs/>
                <w:color w:val="FFFFFF" w:themeColor="background1"/>
                <w:sz w:val="20"/>
                <w:szCs w:val="20"/>
              </w:rPr>
            </w:pPr>
            <w:proofErr w:type="spellStart"/>
            <w:r w:rsidRPr="004E72D3">
              <w:rPr>
                <w:rFonts w:ascii="Perpetua" w:hAnsi="Perpetua" w:cs="Calibri"/>
                <w:b/>
                <w:bCs/>
                <w:color w:val="FFFFFF" w:themeColor="background1"/>
                <w:sz w:val="20"/>
                <w:szCs w:val="20"/>
              </w:rPr>
              <w:t>TFa</w:t>
            </w:r>
            <w:proofErr w:type="spellEnd"/>
            <w:r w:rsidRPr="004E72D3">
              <w:rPr>
                <w:rFonts w:ascii="Perpetua" w:hAnsi="Perpetua" w:cs="Calibri"/>
                <w:b/>
                <w:bCs/>
                <w:color w:val="FFFFFF" w:themeColor="background1"/>
                <w:sz w:val="20"/>
                <w:szCs w:val="20"/>
              </w:rPr>
              <w:t xml:space="preserve"> dopo distribuzione delta (∑</w:t>
            </w:r>
            <w:proofErr w:type="spellStart"/>
            <w:r w:rsidRPr="004E72D3">
              <w:rPr>
                <w:rFonts w:ascii="Perpetua" w:hAnsi="Perpetua" w:cs="Calibri"/>
                <w:b/>
                <w:bCs/>
                <w:color w:val="FFFFFF" w:themeColor="background1"/>
                <w:sz w:val="20"/>
                <w:szCs w:val="20"/>
              </w:rPr>
              <w:t>Ta-</w:t>
            </w:r>
            <w:proofErr w:type="spellEnd"/>
            <w:r w:rsidRPr="004E72D3">
              <w:rPr>
                <w:rFonts w:ascii="Perpetua" w:hAnsi="Perpetua" w:cs="Calibri"/>
                <w:b/>
                <w:bCs/>
                <w:color w:val="FFFFFF" w:themeColor="background1"/>
                <w:sz w:val="20"/>
                <w:szCs w:val="20"/>
              </w:rPr>
              <w:t>∑</w:t>
            </w:r>
            <w:proofErr w:type="spellStart"/>
            <w:r w:rsidRPr="004E72D3">
              <w:rPr>
                <w:rFonts w:ascii="Perpetua" w:hAnsi="Perpetua" w:cs="Calibri"/>
                <w:b/>
                <w:bCs/>
                <w:color w:val="FFFFFF" w:themeColor="background1"/>
                <w:sz w:val="20"/>
                <w:szCs w:val="20"/>
              </w:rPr>
              <w:t>Tmax</w:t>
            </w:r>
            <w:proofErr w:type="spellEnd"/>
            <w:r w:rsidRPr="004E72D3">
              <w:rPr>
                <w:rFonts w:ascii="Perpetua" w:hAnsi="Perpetua" w:cs="Calibri"/>
                <w:b/>
                <w:bCs/>
                <w:color w:val="FFFFFF" w:themeColor="background1"/>
                <w:sz w:val="20"/>
                <w:szCs w:val="20"/>
              </w:rPr>
              <w:t xml:space="preserve">) </w:t>
            </w:r>
          </w:p>
        </w:tc>
        <w:tc>
          <w:tcPr>
            <w:tcW w:w="1493" w:type="dxa"/>
            <w:tcBorders>
              <w:top w:val="nil"/>
              <w:left w:val="nil"/>
              <w:bottom w:val="single" w:sz="4" w:space="0" w:color="auto"/>
              <w:right w:val="single" w:sz="4" w:space="0" w:color="auto"/>
            </w:tcBorders>
            <w:shd w:val="clear" w:color="000000" w:fill="FFFFFF"/>
            <w:noWrap/>
            <w:hideMark/>
          </w:tcPr>
          <w:p w:rsidR="00044932" w:rsidRPr="004E72D3" w:rsidRDefault="00044932" w:rsidP="0078536B">
            <w:pPr>
              <w:jc w:val="right"/>
              <w:rPr>
                <w:rFonts w:ascii="Perpetua" w:hAnsi="Perpetua" w:cs="Calibri"/>
                <w:b/>
                <w:bCs/>
                <w:sz w:val="20"/>
                <w:szCs w:val="20"/>
              </w:rPr>
            </w:pPr>
            <w:r w:rsidRPr="004E72D3">
              <w:rPr>
                <w:rFonts w:ascii="Perpetua" w:hAnsi="Perpetua"/>
                <w:sz w:val="20"/>
                <w:szCs w:val="20"/>
              </w:rPr>
              <w:t xml:space="preserve"> 444.333 </w:t>
            </w:r>
          </w:p>
        </w:tc>
        <w:tc>
          <w:tcPr>
            <w:tcW w:w="1342" w:type="dxa"/>
            <w:tcBorders>
              <w:top w:val="nil"/>
              <w:left w:val="nil"/>
              <w:bottom w:val="single" w:sz="4" w:space="0" w:color="auto"/>
              <w:right w:val="single" w:sz="4" w:space="0" w:color="auto"/>
            </w:tcBorders>
            <w:shd w:val="clear" w:color="000000" w:fill="FFFFFF"/>
            <w:noWrap/>
            <w:hideMark/>
          </w:tcPr>
          <w:p w:rsidR="00044932" w:rsidRPr="004E72D3" w:rsidRDefault="00044932" w:rsidP="0078536B">
            <w:pPr>
              <w:jc w:val="right"/>
              <w:rPr>
                <w:rFonts w:ascii="Perpetua" w:hAnsi="Perpetua" w:cs="Calibri"/>
                <w:b/>
                <w:bCs/>
                <w:sz w:val="20"/>
                <w:szCs w:val="20"/>
              </w:rPr>
            </w:pPr>
            <w:r w:rsidRPr="004E72D3">
              <w:rPr>
                <w:rFonts w:ascii="Perpetua" w:hAnsi="Perpetua"/>
                <w:sz w:val="20"/>
                <w:szCs w:val="20"/>
              </w:rPr>
              <w:t xml:space="preserve"> 593.153 </w:t>
            </w:r>
          </w:p>
        </w:tc>
        <w:tc>
          <w:tcPr>
            <w:tcW w:w="1559" w:type="dxa"/>
            <w:tcBorders>
              <w:top w:val="nil"/>
              <w:left w:val="nil"/>
              <w:bottom w:val="single" w:sz="4" w:space="0" w:color="auto"/>
              <w:right w:val="single" w:sz="8" w:space="0" w:color="auto"/>
            </w:tcBorders>
            <w:shd w:val="clear" w:color="000000" w:fill="0070C0"/>
            <w:noWrap/>
            <w:hideMark/>
          </w:tcPr>
          <w:p w:rsidR="00044932" w:rsidRPr="004E72D3" w:rsidRDefault="00044932" w:rsidP="0078536B">
            <w:pPr>
              <w:jc w:val="right"/>
              <w:rPr>
                <w:rFonts w:ascii="Perpetua" w:hAnsi="Perpetua" w:cs="Calibri"/>
                <w:b/>
                <w:bCs/>
                <w:color w:val="FFFFFF" w:themeColor="background1"/>
                <w:sz w:val="20"/>
                <w:szCs w:val="20"/>
              </w:rPr>
            </w:pPr>
            <w:r w:rsidRPr="004E72D3">
              <w:rPr>
                <w:rFonts w:ascii="Perpetua" w:hAnsi="Perpetua"/>
                <w:b/>
                <w:bCs/>
                <w:color w:val="FFFFFF" w:themeColor="background1"/>
                <w:sz w:val="20"/>
                <w:szCs w:val="20"/>
              </w:rPr>
              <w:t xml:space="preserve"> 1.037.486 </w:t>
            </w:r>
          </w:p>
        </w:tc>
      </w:tr>
      <w:tr w:rsidR="00044932" w:rsidRPr="004E72D3" w:rsidTr="0078536B">
        <w:trPr>
          <w:trHeight w:val="345"/>
        </w:trPr>
        <w:tc>
          <w:tcPr>
            <w:tcW w:w="5519" w:type="dxa"/>
            <w:tcBorders>
              <w:top w:val="single" w:sz="4" w:space="0" w:color="auto"/>
              <w:left w:val="single" w:sz="8" w:space="0" w:color="auto"/>
              <w:bottom w:val="single" w:sz="8" w:space="0" w:color="auto"/>
              <w:right w:val="single" w:sz="8" w:space="0" w:color="auto"/>
            </w:tcBorders>
            <w:shd w:val="clear" w:color="000000" w:fill="0070C0"/>
            <w:noWrap/>
            <w:vAlign w:val="center"/>
            <w:hideMark/>
          </w:tcPr>
          <w:p w:rsidR="00044932" w:rsidRPr="004E72D3" w:rsidRDefault="00044932" w:rsidP="0078536B">
            <w:pPr>
              <w:rPr>
                <w:rFonts w:ascii="Perpetua" w:hAnsi="Perpetua" w:cs="Calibri"/>
                <w:b/>
                <w:bCs/>
                <w:color w:val="FFFFFF" w:themeColor="background1"/>
                <w:sz w:val="20"/>
                <w:szCs w:val="20"/>
              </w:rPr>
            </w:pPr>
            <w:r w:rsidRPr="004E72D3">
              <w:rPr>
                <w:rFonts w:ascii="Perpetua" w:hAnsi="Perpetua" w:cs="Calibri"/>
                <w:b/>
                <w:bCs/>
                <w:color w:val="FFFFFF" w:themeColor="background1"/>
                <w:sz w:val="20"/>
                <w:szCs w:val="20"/>
              </w:rPr>
              <w:t>Ta=TVa+TFa dopo distribuzione delta (∑</w:t>
            </w:r>
            <w:proofErr w:type="spellStart"/>
            <w:r w:rsidRPr="004E72D3">
              <w:rPr>
                <w:rFonts w:ascii="Perpetua" w:hAnsi="Perpetua" w:cs="Calibri"/>
                <w:b/>
                <w:bCs/>
                <w:color w:val="FFFFFF" w:themeColor="background1"/>
                <w:sz w:val="20"/>
                <w:szCs w:val="20"/>
              </w:rPr>
              <w:t>Ta-</w:t>
            </w:r>
            <w:proofErr w:type="spellEnd"/>
            <w:r w:rsidRPr="004E72D3">
              <w:rPr>
                <w:rFonts w:ascii="Perpetua" w:hAnsi="Perpetua" w:cs="Calibri"/>
                <w:b/>
                <w:bCs/>
                <w:color w:val="FFFFFF" w:themeColor="background1"/>
                <w:sz w:val="20"/>
                <w:szCs w:val="20"/>
              </w:rPr>
              <w:t>∑</w:t>
            </w:r>
            <w:proofErr w:type="spellStart"/>
            <w:r w:rsidRPr="004E72D3">
              <w:rPr>
                <w:rFonts w:ascii="Perpetua" w:hAnsi="Perpetua" w:cs="Calibri"/>
                <w:b/>
                <w:bCs/>
                <w:color w:val="FFFFFF" w:themeColor="background1"/>
                <w:sz w:val="20"/>
                <w:szCs w:val="20"/>
              </w:rPr>
              <w:t>Tmax</w:t>
            </w:r>
            <w:proofErr w:type="spellEnd"/>
            <w:r w:rsidRPr="004E72D3">
              <w:rPr>
                <w:rFonts w:ascii="Perpetua" w:hAnsi="Perpetua" w:cs="Calibri"/>
                <w:b/>
                <w:bCs/>
                <w:color w:val="FFFFFF" w:themeColor="background1"/>
                <w:sz w:val="20"/>
                <w:szCs w:val="20"/>
              </w:rPr>
              <w:t xml:space="preserve">) </w:t>
            </w:r>
          </w:p>
        </w:tc>
        <w:tc>
          <w:tcPr>
            <w:tcW w:w="1493" w:type="dxa"/>
            <w:tcBorders>
              <w:top w:val="nil"/>
              <w:left w:val="nil"/>
              <w:bottom w:val="single" w:sz="8" w:space="0" w:color="auto"/>
              <w:right w:val="single" w:sz="4" w:space="0" w:color="auto"/>
            </w:tcBorders>
            <w:shd w:val="clear" w:color="000000" w:fill="0070C0"/>
            <w:noWrap/>
            <w:hideMark/>
          </w:tcPr>
          <w:p w:rsidR="00044932" w:rsidRPr="004E72D3" w:rsidRDefault="00044932" w:rsidP="0078536B">
            <w:pPr>
              <w:jc w:val="right"/>
              <w:rPr>
                <w:rFonts w:ascii="Perpetua" w:hAnsi="Perpetua" w:cs="Calibri"/>
                <w:b/>
                <w:bCs/>
                <w:color w:val="FFFFFF" w:themeColor="background1"/>
                <w:sz w:val="20"/>
                <w:szCs w:val="20"/>
              </w:rPr>
            </w:pPr>
            <w:r w:rsidRPr="004E72D3">
              <w:rPr>
                <w:rFonts w:ascii="Perpetua" w:hAnsi="Perpetua"/>
                <w:b/>
                <w:bCs/>
                <w:color w:val="FFFFFF" w:themeColor="background1"/>
                <w:sz w:val="20"/>
                <w:szCs w:val="20"/>
              </w:rPr>
              <w:t xml:space="preserve"> 1.611.734 </w:t>
            </w:r>
          </w:p>
        </w:tc>
        <w:tc>
          <w:tcPr>
            <w:tcW w:w="1342" w:type="dxa"/>
            <w:tcBorders>
              <w:top w:val="nil"/>
              <w:left w:val="nil"/>
              <w:bottom w:val="single" w:sz="8" w:space="0" w:color="auto"/>
              <w:right w:val="single" w:sz="4" w:space="0" w:color="auto"/>
            </w:tcBorders>
            <w:shd w:val="clear" w:color="000000" w:fill="0070C0"/>
            <w:noWrap/>
            <w:hideMark/>
          </w:tcPr>
          <w:p w:rsidR="00044932" w:rsidRPr="004E72D3" w:rsidRDefault="00044932" w:rsidP="0078536B">
            <w:pPr>
              <w:jc w:val="right"/>
              <w:rPr>
                <w:rFonts w:ascii="Perpetua" w:hAnsi="Perpetua" w:cs="Calibri"/>
                <w:b/>
                <w:bCs/>
                <w:color w:val="FFFFFF" w:themeColor="background1"/>
                <w:sz w:val="20"/>
                <w:szCs w:val="20"/>
              </w:rPr>
            </w:pPr>
            <w:r w:rsidRPr="004E72D3">
              <w:rPr>
                <w:rFonts w:ascii="Perpetua" w:hAnsi="Perpetua"/>
                <w:b/>
                <w:bCs/>
                <w:color w:val="FFFFFF" w:themeColor="background1"/>
                <w:sz w:val="20"/>
                <w:szCs w:val="20"/>
              </w:rPr>
              <w:t xml:space="preserve"> 1.473.606 </w:t>
            </w:r>
          </w:p>
        </w:tc>
        <w:tc>
          <w:tcPr>
            <w:tcW w:w="1559" w:type="dxa"/>
            <w:tcBorders>
              <w:top w:val="nil"/>
              <w:left w:val="nil"/>
              <w:bottom w:val="single" w:sz="8" w:space="0" w:color="auto"/>
              <w:right w:val="single" w:sz="8" w:space="0" w:color="auto"/>
            </w:tcBorders>
            <w:shd w:val="clear" w:color="000000" w:fill="0070C0"/>
            <w:noWrap/>
            <w:hideMark/>
          </w:tcPr>
          <w:p w:rsidR="00044932" w:rsidRPr="004E72D3" w:rsidRDefault="00044932" w:rsidP="0078536B">
            <w:pPr>
              <w:jc w:val="right"/>
              <w:rPr>
                <w:rFonts w:ascii="Perpetua" w:hAnsi="Perpetua" w:cs="Calibri"/>
                <w:b/>
                <w:bCs/>
                <w:color w:val="FFFFFF" w:themeColor="background1"/>
                <w:sz w:val="20"/>
                <w:szCs w:val="20"/>
              </w:rPr>
            </w:pPr>
            <w:r w:rsidRPr="004E72D3">
              <w:rPr>
                <w:rFonts w:ascii="Perpetua" w:hAnsi="Perpetua"/>
                <w:b/>
                <w:bCs/>
                <w:color w:val="FFFFFF" w:themeColor="background1"/>
                <w:sz w:val="20"/>
                <w:szCs w:val="20"/>
              </w:rPr>
              <w:t xml:space="preserve"> 3.085.340 </w:t>
            </w:r>
          </w:p>
        </w:tc>
      </w:tr>
      <w:tr w:rsidR="00044932" w:rsidRPr="004E72D3" w:rsidTr="0078536B">
        <w:trPr>
          <w:trHeight w:val="402"/>
        </w:trPr>
        <w:tc>
          <w:tcPr>
            <w:tcW w:w="5519" w:type="dxa"/>
            <w:tcBorders>
              <w:top w:val="single" w:sz="8" w:space="0" w:color="auto"/>
              <w:left w:val="single" w:sz="8" w:space="0" w:color="auto"/>
              <w:bottom w:val="single" w:sz="8" w:space="0" w:color="auto"/>
              <w:right w:val="nil"/>
            </w:tcBorders>
            <w:shd w:val="clear" w:color="000000" w:fill="2F75B5"/>
            <w:noWrap/>
            <w:vAlign w:val="center"/>
            <w:hideMark/>
          </w:tcPr>
          <w:p w:rsidR="00044932" w:rsidRPr="004E72D3" w:rsidRDefault="00044932" w:rsidP="0078536B">
            <w:pPr>
              <w:rPr>
                <w:rFonts w:ascii="Perpetua" w:hAnsi="Perpetua" w:cs="Calibri"/>
                <w:color w:val="FFFFFF"/>
                <w:sz w:val="20"/>
                <w:szCs w:val="20"/>
              </w:rPr>
            </w:pPr>
            <w:r w:rsidRPr="004E72D3">
              <w:rPr>
                <w:rFonts w:ascii="Perpetua" w:hAnsi="Perpetua" w:cs="Calibri"/>
                <w:color w:val="FFFFFF"/>
                <w:sz w:val="20"/>
                <w:szCs w:val="20"/>
              </w:rPr>
              <w:t>Detrazioni di cui al comma 1.4 della Determina n. 2/DRIF/2021 - parte variabile</w:t>
            </w:r>
          </w:p>
        </w:tc>
        <w:tc>
          <w:tcPr>
            <w:tcW w:w="1493" w:type="dxa"/>
            <w:tcBorders>
              <w:top w:val="single" w:sz="8" w:space="0" w:color="auto"/>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single" w:sz="8" w:space="0" w:color="auto"/>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single" w:sz="8" w:space="0" w:color="auto"/>
              <w:left w:val="single" w:sz="8" w:space="0" w:color="auto"/>
              <w:bottom w:val="nil"/>
              <w:right w:val="single" w:sz="8" w:space="0" w:color="auto"/>
            </w:tcBorders>
            <w:shd w:val="clear" w:color="000000" w:fill="FFF2CC"/>
            <w:noWrap/>
            <w:hideMark/>
          </w:tcPr>
          <w:p w:rsidR="00044932" w:rsidRPr="004E72D3" w:rsidRDefault="00044932" w:rsidP="0078536B">
            <w:pPr>
              <w:jc w:val="right"/>
              <w:rPr>
                <w:rFonts w:ascii="Perpetua" w:hAnsi="Perpetua" w:cs="Calibri"/>
                <w:color w:val="000000"/>
                <w:sz w:val="20"/>
                <w:szCs w:val="20"/>
              </w:rPr>
            </w:pPr>
            <w:r w:rsidRPr="004E72D3">
              <w:rPr>
                <w:rFonts w:ascii="Perpetua" w:hAnsi="Perpetua"/>
                <w:sz w:val="20"/>
                <w:szCs w:val="20"/>
              </w:rPr>
              <w:t xml:space="preserve"> </w:t>
            </w:r>
          </w:p>
        </w:tc>
      </w:tr>
      <w:tr w:rsidR="00044932" w:rsidRPr="004E72D3" w:rsidTr="0078536B">
        <w:trPr>
          <w:trHeight w:val="402"/>
        </w:trPr>
        <w:tc>
          <w:tcPr>
            <w:tcW w:w="5519" w:type="dxa"/>
            <w:tcBorders>
              <w:top w:val="nil"/>
              <w:left w:val="single" w:sz="8" w:space="0" w:color="auto"/>
              <w:bottom w:val="single" w:sz="8" w:space="0" w:color="auto"/>
              <w:right w:val="nil"/>
            </w:tcBorders>
            <w:shd w:val="clear" w:color="000000" w:fill="2F75B5"/>
            <w:noWrap/>
            <w:vAlign w:val="center"/>
            <w:hideMark/>
          </w:tcPr>
          <w:p w:rsidR="00044932" w:rsidRPr="004E72D3" w:rsidRDefault="00044932" w:rsidP="0078536B">
            <w:pPr>
              <w:rPr>
                <w:rFonts w:ascii="Perpetua" w:hAnsi="Perpetua" w:cs="Calibri"/>
                <w:color w:val="FFFFFF"/>
                <w:sz w:val="20"/>
                <w:szCs w:val="20"/>
              </w:rPr>
            </w:pPr>
            <w:r w:rsidRPr="004E72D3">
              <w:rPr>
                <w:rFonts w:ascii="Perpetua" w:hAnsi="Perpetua" w:cs="Calibri"/>
                <w:color w:val="FFFFFF"/>
                <w:sz w:val="20"/>
                <w:szCs w:val="20"/>
              </w:rPr>
              <w:t>Detrazioni di cui al comma 1.4 della Determina n. 2/DRIF/2021 - parte fissa</w:t>
            </w:r>
          </w:p>
        </w:tc>
        <w:tc>
          <w:tcPr>
            <w:tcW w:w="1493" w:type="dxa"/>
            <w:tcBorders>
              <w:top w:val="nil"/>
              <w:left w:val="nil"/>
              <w:bottom w:val="single" w:sz="8"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nil"/>
              <w:left w:val="nil"/>
              <w:bottom w:val="single" w:sz="8"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single" w:sz="4" w:space="0" w:color="auto"/>
              <w:left w:val="single" w:sz="8" w:space="0" w:color="auto"/>
              <w:bottom w:val="single" w:sz="8" w:space="0" w:color="auto"/>
              <w:right w:val="single" w:sz="8" w:space="0" w:color="auto"/>
            </w:tcBorders>
            <w:shd w:val="clear" w:color="000000" w:fill="FFF2CC"/>
            <w:noWrap/>
            <w:hideMark/>
          </w:tcPr>
          <w:p w:rsidR="00044932" w:rsidRPr="004E72D3" w:rsidRDefault="00044932" w:rsidP="0078536B">
            <w:pPr>
              <w:jc w:val="right"/>
              <w:rPr>
                <w:rFonts w:ascii="Perpetua" w:hAnsi="Perpetua" w:cs="Calibri"/>
                <w:color w:val="000000"/>
                <w:sz w:val="20"/>
                <w:szCs w:val="20"/>
              </w:rPr>
            </w:pPr>
            <w:r w:rsidRPr="004E72D3">
              <w:rPr>
                <w:rFonts w:ascii="Perpetua" w:hAnsi="Perpetua"/>
                <w:sz w:val="20"/>
                <w:szCs w:val="20"/>
              </w:rPr>
              <w:t xml:space="preserve"> -   </w:t>
            </w:r>
          </w:p>
        </w:tc>
      </w:tr>
      <w:tr w:rsidR="00044932" w:rsidRPr="004E72D3" w:rsidTr="0078536B">
        <w:trPr>
          <w:trHeight w:val="345"/>
        </w:trPr>
        <w:tc>
          <w:tcPr>
            <w:tcW w:w="5519" w:type="dxa"/>
            <w:tcBorders>
              <w:top w:val="nil"/>
              <w:left w:val="nil"/>
              <w:bottom w:val="single" w:sz="8" w:space="0" w:color="auto"/>
              <w:right w:val="nil"/>
            </w:tcBorders>
            <w:shd w:val="clear" w:color="000000" w:fill="FFFFFF"/>
            <w:noWrap/>
            <w:vAlign w:val="center"/>
            <w:hideMark/>
          </w:tcPr>
          <w:p w:rsidR="00044932" w:rsidRPr="004E72D3" w:rsidRDefault="00044932" w:rsidP="0078536B">
            <w:pPr>
              <w:rPr>
                <w:rFonts w:ascii="Perpetua" w:hAnsi="Perpetua" w:cs="Calibri"/>
                <w:color w:val="000000"/>
                <w:sz w:val="20"/>
                <w:szCs w:val="20"/>
              </w:rPr>
            </w:pPr>
            <w:r w:rsidRPr="004E72D3">
              <w:rPr>
                <w:rFonts w:ascii="Perpetua" w:hAnsi="Perpetua" w:cs="Calibri"/>
                <w:color w:val="000000"/>
                <w:sz w:val="20"/>
                <w:szCs w:val="20"/>
              </w:rPr>
              <w:t> </w:t>
            </w:r>
          </w:p>
        </w:tc>
        <w:tc>
          <w:tcPr>
            <w:tcW w:w="1493" w:type="dxa"/>
            <w:tcBorders>
              <w:top w:val="nil"/>
              <w:left w:val="nil"/>
              <w:bottom w:val="nil"/>
              <w:right w:val="nil"/>
            </w:tcBorders>
            <w:shd w:val="clear"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nil"/>
              <w:left w:val="nil"/>
              <w:bottom w:val="nil"/>
              <w:right w:val="nil"/>
            </w:tcBorders>
            <w:shd w:val="clear"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nil"/>
              <w:left w:val="nil"/>
              <w:bottom w:val="nil"/>
              <w:right w:val="nil"/>
            </w:tcBorders>
            <w:shd w:val="clear"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r>
      <w:tr w:rsidR="00044932" w:rsidRPr="004E72D3" w:rsidTr="0078536B">
        <w:trPr>
          <w:trHeight w:val="612"/>
        </w:trPr>
        <w:tc>
          <w:tcPr>
            <w:tcW w:w="5519" w:type="dxa"/>
            <w:tcBorders>
              <w:top w:val="nil"/>
              <w:left w:val="single" w:sz="8" w:space="0" w:color="auto"/>
              <w:bottom w:val="single" w:sz="8" w:space="0" w:color="auto"/>
              <w:right w:val="single" w:sz="8" w:space="0" w:color="auto"/>
            </w:tcBorders>
            <w:shd w:val="clear" w:color="000000" w:fill="0070C0"/>
            <w:vAlign w:val="center"/>
            <w:hideMark/>
          </w:tcPr>
          <w:p w:rsidR="00044932" w:rsidRPr="004E72D3" w:rsidRDefault="00044932" w:rsidP="0078536B">
            <w:pPr>
              <w:rPr>
                <w:rFonts w:ascii="Perpetua" w:hAnsi="Perpetua" w:cs="Calibri"/>
                <w:b/>
                <w:bCs/>
                <w:color w:val="FFFFFF"/>
                <w:sz w:val="20"/>
                <w:szCs w:val="20"/>
              </w:rPr>
            </w:pPr>
            <w:r w:rsidRPr="004E72D3">
              <w:rPr>
                <w:rFonts w:ascii="Perpetua" w:hAnsi="Perpetua" w:cs="Calibri"/>
                <w:b/>
                <w:bCs/>
                <w:i/>
                <w:iCs/>
                <w:color w:val="FFFFFF"/>
                <w:sz w:val="20"/>
                <w:szCs w:val="20"/>
              </w:rPr>
              <w:t>∑</w:t>
            </w:r>
            <w:proofErr w:type="spellStart"/>
            <w:r w:rsidRPr="004E72D3">
              <w:rPr>
                <w:rFonts w:ascii="Perpetua" w:hAnsi="Perpetua" w:cs="Calibri"/>
                <w:b/>
                <w:bCs/>
                <w:i/>
                <w:iCs/>
                <w:color w:val="FFFFFF"/>
                <w:sz w:val="20"/>
                <w:szCs w:val="20"/>
              </w:rPr>
              <w:t>TV</w:t>
            </w:r>
            <w:r w:rsidRPr="004E72D3">
              <w:rPr>
                <w:rFonts w:ascii="Perpetua" w:hAnsi="Perpetua" w:cs="Calibri"/>
                <w:b/>
                <w:bCs/>
                <w:i/>
                <w:iCs/>
                <w:color w:val="FFFFFF"/>
                <w:sz w:val="20"/>
                <w:szCs w:val="20"/>
                <w:vertAlign w:val="subscript"/>
              </w:rPr>
              <w:t>a</w:t>
            </w:r>
            <w:proofErr w:type="spellEnd"/>
            <w:r w:rsidRPr="004E72D3">
              <w:rPr>
                <w:rFonts w:ascii="Perpetua" w:hAnsi="Perpetua" w:cs="Calibri"/>
                <w:b/>
                <w:bCs/>
                <w:color w:val="FFFFFF"/>
                <w:sz w:val="20"/>
                <w:szCs w:val="20"/>
              </w:rPr>
              <w:t xml:space="preserve"> totale delle entrate tariffarie relative alle componenti di costo variabile dopo le detrazioni di cui al comma 1.4 della Determina n.2/DRIF/2021 </w:t>
            </w:r>
          </w:p>
        </w:tc>
        <w:tc>
          <w:tcPr>
            <w:tcW w:w="1493" w:type="dxa"/>
            <w:tcBorders>
              <w:top w:val="single" w:sz="8" w:space="0" w:color="auto"/>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single" w:sz="8" w:space="0" w:color="auto"/>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single" w:sz="8" w:space="0" w:color="auto"/>
              <w:left w:val="nil"/>
              <w:bottom w:val="single" w:sz="4" w:space="0" w:color="auto"/>
              <w:right w:val="single" w:sz="8" w:space="0" w:color="auto"/>
            </w:tcBorders>
            <w:shd w:val="clear"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xml:space="preserve">                         2.047.854 </w:t>
            </w:r>
          </w:p>
        </w:tc>
      </w:tr>
      <w:tr w:rsidR="00044932" w:rsidRPr="004E72D3" w:rsidTr="0078536B">
        <w:trPr>
          <w:trHeight w:val="648"/>
        </w:trPr>
        <w:tc>
          <w:tcPr>
            <w:tcW w:w="5519" w:type="dxa"/>
            <w:tcBorders>
              <w:top w:val="single" w:sz="4" w:space="0" w:color="auto"/>
              <w:left w:val="single" w:sz="8" w:space="0" w:color="auto"/>
              <w:bottom w:val="single" w:sz="8" w:space="0" w:color="auto"/>
              <w:right w:val="single" w:sz="8" w:space="0" w:color="auto"/>
            </w:tcBorders>
            <w:shd w:val="clear" w:color="000000" w:fill="0070C0"/>
            <w:vAlign w:val="center"/>
            <w:hideMark/>
          </w:tcPr>
          <w:p w:rsidR="00044932" w:rsidRPr="004E72D3" w:rsidRDefault="00044932" w:rsidP="0078536B">
            <w:pPr>
              <w:rPr>
                <w:rFonts w:ascii="Perpetua" w:hAnsi="Perpetua" w:cs="Calibri"/>
                <w:b/>
                <w:bCs/>
                <w:color w:val="FFFFFF"/>
                <w:sz w:val="20"/>
                <w:szCs w:val="20"/>
              </w:rPr>
            </w:pPr>
            <w:r w:rsidRPr="004E72D3">
              <w:rPr>
                <w:rFonts w:ascii="Perpetua" w:hAnsi="Perpetua" w:cs="Calibri"/>
                <w:b/>
                <w:bCs/>
                <w:i/>
                <w:iCs/>
                <w:color w:val="FFFFFF"/>
                <w:sz w:val="20"/>
                <w:szCs w:val="20"/>
              </w:rPr>
              <w:t>∑</w:t>
            </w:r>
            <w:proofErr w:type="spellStart"/>
            <w:r w:rsidRPr="004E72D3">
              <w:rPr>
                <w:rFonts w:ascii="Perpetua" w:hAnsi="Perpetua" w:cs="Calibri"/>
                <w:b/>
                <w:bCs/>
                <w:i/>
                <w:iCs/>
                <w:color w:val="FFFFFF"/>
                <w:sz w:val="20"/>
                <w:szCs w:val="20"/>
              </w:rPr>
              <w:t>TF</w:t>
            </w:r>
            <w:r w:rsidRPr="004E72D3">
              <w:rPr>
                <w:rFonts w:ascii="Perpetua" w:hAnsi="Perpetua" w:cs="Calibri"/>
                <w:b/>
                <w:bCs/>
                <w:i/>
                <w:iCs/>
                <w:color w:val="FFFFFF"/>
                <w:sz w:val="20"/>
                <w:szCs w:val="20"/>
                <w:vertAlign w:val="subscript"/>
              </w:rPr>
              <w:t>a</w:t>
            </w:r>
            <w:proofErr w:type="spellEnd"/>
            <w:r w:rsidRPr="004E72D3">
              <w:rPr>
                <w:rFonts w:ascii="Perpetua" w:hAnsi="Perpetua" w:cs="Calibri"/>
                <w:b/>
                <w:bCs/>
                <w:color w:val="FFFFFF"/>
                <w:sz w:val="20"/>
                <w:szCs w:val="20"/>
              </w:rPr>
              <w:t xml:space="preserve"> totale delle entrate tariffarie relative alle componenti di costo fisso dopo le detrazioni di cui al comma 1.4 della Determina n.2/DRIF/2021</w:t>
            </w:r>
          </w:p>
        </w:tc>
        <w:tc>
          <w:tcPr>
            <w:tcW w:w="1493" w:type="dxa"/>
            <w:tcBorders>
              <w:top w:val="nil"/>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nil"/>
              <w:left w:val="nil"/>
              <w:bottom w:val="single" w:sz="4"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nil"/>
              <w:left w:val="nil"/>
              <w:bottom w:val="single" w:sz="4" w:space="0" w:color="auto"/>
              <w:right w:val="single" w:sz="8" w:space="0" w:color="auto"/>
            </w:tcBorders>
            <w:shd w:val="clear"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xml:space="preserve">                         1.037.486 </w:t>
            </w:r>
          </w:p>
        </w:tc>
      </w:tr>
      <w:tr w:rsidR="00044932" w:rsidRPr="004E72D3" w:rsidTr="0078536B">
        <w:trPr>
          <w:trHeight w:val="615"/>
        </w:trPr>
        <w:tc>
          <w:tcPr>
            <w:tcW w:w="5519" w:type="dxa"/>
            <w:tcBorders>
              <w:top w:val="single" w:sz="4" w:space="0" w:color="auto"/>
              <w:left w:val="single" w:sz="8" w:space="0" w:color="auto"/>
              <w:bottom w:val="single" w:sz="8" w:space="0" w:color="auto"/>
              <w:right w:val="single" w:sz="8" w:space="0" w:color="auto"/>
            </w:tcBorders>
            <w:shd w:val="clear" w:color="000000" w:fill="0070C0"/>
            <w:noWrap/>
            <w:vAlign w:val="center"/>
            <w:hideMark/>
          </w:tcPr>
          <w:p w:rsidR="00044932" w:rsidRPr="004E72D3" w:rsidRDefault="00044932" w:rsidP="0078536B">
            <w:pPr>
              <w:rPr>
                <w:rFonts w:ascii="Perpetua" w:hAnsi="Perpetua" w:cs="Calibri"/>
                <w:b/>
                <w:bCs/>
                <w:color w:val="FFFFFF"/>
                <w:sz w:val="20"/>
                <w:szCs w:val="20"/>
              </w:rPr>
            </w:pPr>
            <w:r w:rsidRPr="004E72D3">
              <w:rPr>
                <w:rFonts w:ascii="Perpetua" w:hAnsi="Perpetua" w:cs="Calibri"/>
                <w:b/>
                <w:bCs/>
                <w:color w:val="FFFFFF"/>
                <w:sz w:val="20"/>
                <w:szCs w:val="20"/>
              </w:rPr>
              <w:t>Totale entrate tariffarie dopo le detrazioni di cui al comma 1.4 della Determina n.2/DRIF/2021</w:t>
            </w:r>
          </w:p>
        </w:tc>
        <w:tc>
          <w:tcPr>
            <w:tcW w:w="1493" w:type="dxa"/>
            <w:tcBorders>
              <w:top w:val="nil"/>
              <w:left w:val="nil"/>
              <w:bottom w:val="single" w:sz="8"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342" w:type="dxa"/>
            <w:tcBorders>
              <w:top w:val="nil"/>
              <w:left w:val="nil"/>
              <w:bottom w:val="single" w:sz="8" w:space="0" w:color="auto"/>
              <w:right w:val="single" w:sz="4" w:space="0" w:color="auto"/>
            </w:tcBorders>
            <w:shd w:val="pct12" w:color="000000" w:fill="FFFFFF"/>
            <w:noWrap/>
            <w:vAlign w:val="center"/>
            <w:hideMark/>
          </w:tcPr>
          <w:p w:rsidR="00044932" w:rsidRPr="004E72D3" w:rsidRDefault="00044932" w:rsidP="0078536B">
            <w:pPr>
              <w:jc w:val="right"/>
              <w:rPr>
                <w:rFonts w:ascii="Perpetua" w:hAnsi="Perpetua" w:cs="Calibri"/>
                <w:color w:val="000000"/>
                <w:sz w:val="20"/>
                <w:szCs w:val="20"/>
              </w:rPr>
            </w:pPr>
            <w:r w:rsidRPr="004E72D3">
              <w:rPr>
                <w:rFonts w:ascii="Perpetua" w:hAnsi="Perpetua" w:cs="Calibri"/>
                <w:color w:val="000000"/>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044932" w:rsidRPr="004E72D3" w:rsidRDefault="00044932" w:rsidP="0078536B">
            <w:pPr>
              <w:jc w:val="right"/>
              <w:rPr>
                <w:rFonts w:ascii="Perpetua" w:hAnsi="Perpetua" w:cs="Calibri"/>
                <w:b/>
                <w:bCs/>
                <w:color w:val="000000"/>
                <w:sz w:val="20"/>
                <w:szCs w:val="20"/>
              </w:rPr>
            </w:pPr>
            <w:r w:rsidRPr="004E72D3">
              <w:rPr>
                <w:rFonts w:ascii="Perpetua" w:hAnsi="Perpetua" w:cs="Calibri"/>
                <w:b/>
                <w:bCs/>
                <w:color w:val="000000"/>
                <w:sz w:val="20"/>
                <w:szCs w:val="20"/>
              </w:rPr>
              <w:t xml:space="preserve">                         3.085.340 </w:t>
            </w:r>
          </w:p>
        </w:tc>
      </w:tr>
      <w:bookmarkEnd w:id="0"/>
    </w:tbl>
    <w:p w:rsidR="00044932" w:rsidRDefault="00044932" w:rsidP="006B602D">
      <w:pPr>
        <w:spacing w:before="57" w:after="57" w:line="276" w:lineRule="auto"/>
        <w:jc w:val="both"/>
        <w:rPr>
          <w:rFonts w:ascii="Times New Roman" w:hAnsi="Times New Roman" w:cs="Times New Roman"/>
          <w:b/>
          <w:bCs/>
        </w:rPr>
      </w:pPr>
    </w:p>
    <w:p w:rsidR="00766B5B" w:rsidRPr="007C6FDB" w:rsidRDefault="00766B5B" w:rsidP="007C6FDB">
      <w:pPr>
        <w:pStyle w:val="Default"/>
        <w:spacing w:line="360" w:lineRule="auto"/>
        <w:jc w:val="both"/>
        <w:rPr>
          <w:rFonts w:ascii="Perpetua" w:hAnsi="Perpetua" w:cs="Times New Roman"/>
        </w:rPr>
      </w:pPr>
      <w:r w:rsidRPr="007C6FDB">
        <w:rPr>
          <w:rFonts w:ascii="Perpetua" w:hAnsi="Perpetua" w:cs="Times New Roman"/>
        </w:rPr>
        <w:t xml:space="preserve">5) Di dare atto che ai sensi del comma 8 dell’art. 7 della suddetta Deliberazione 363/2021, gli importi di cui alla tabella precedente costituiscono, fino all’approvazione da parte dell’Autorità (ARERA), </w:t>
      </w:r>
      <w:r w:rsidRPr="005D6A0B">
        <w:rPr>
          <w:rFonts w:ascii="Perpetua" w:hAnsi="Perpetua" w:cs="Times New Roman"/>
        </w:rPr>
        <w:t>i prezzi massimi</w:t>
      </w:r>
      <w:r w:rsidRPr="007C6FDB">
        <w:rPr>
          <w:rFonts w:ascii="Perpetua" w:hAnsi="Perpetua" w:cs="Times New Roman"/>
          <w:b/>
          <w:bCs/>
        </w:rPr>
        <w:t xml:space="preserve"> </w:t>
      </w:r>
      <w:r w:rsidRPr="007C6FDB">
        <w:rPr>
          <w:rFonts w:ascii="Perpetua" w:hAnsi="Perpetua" w:cs="Times New Roman"/>
        </w:rPr>
        <w:t>del servizio in corrispondenza di ciascun anno del biennio 2024/2025;</w:t>
      </w:r>
    </w:p>
    <w:p w:rsidR="007C6FDB" w:rsidRPr="007C6FDB" w:rsidRDefault="00766B5B" w:rsidP="007C6FDB">
      <w:pPr>
        <w:pStyle w:val="Default"/>
        <w:spacing w:line="360" w:lineRule="auto"/>
        <w:jc w:val="both"/>
        <w:rPr>
          <w:rFonts w:ascii="Perpetua" w:hAnsi="Perpetua" w:cs="Times New Roman"/>
        </w:rPr>
      </w:pPr>
      <w:r w:rsidRPr="007C6FDB">
        <w:rPr>
          <w:rFonts w:ascii="Perpetua" w:hAnsi="Perpetua" w:cs="Times New Roman"/>
        </w:rPr>
        <w:lastRenderedPageBreak/>
        <w:t>6) Di dare atto che dalle entrate tariffarie massime applicabili nel rispetto del limite di crescita sono state d</w:t>
      </w:r>
      <w:r w:rsidRPr="007C6FDB">
        <w:rPr>
          <w:rFonts w:ascii="Perpetua" w:hAnsi="Perpetua" w:cs="Times New Roman"/>
        </w:rPr>
        <w:t>e</w:t>
      </w:r>
      <w:r w:rsidRPr="007C6FDB">
        <w:rPr>
          <w:rFonts w:ascii="Perpetua" w:hAnsi="Perpetua" w:cs="Times New Roman"/>
        </w:rPr>
        <w:t xml:space="preserve">tratte le entrate di cui all’art. 1, comma 4, della determinazione N. 1/DTAC/2023, secondo i seguenti valori forniti dal Comune: </w:t>
      </w:r>
    </w:p>
    <w:tbl>
      <w:tblPr>
        <w:tblW w:w="9072" w:type="dxa"/>
        <w:tblCellMar>
          <w:left w:w="70" w:type="dxa"/>
          <w:right w:w="70" w:type="dxa"/>
        </w:tblCellMar>
        <w:tblLook w:val="04A0"/>
      </w:tblPr>
      <w:tblGrid>
        <w:gridCol w:w="5670"/>
        <w:gridCol w:w="1701"/>
        <w:gridCol w:w="1701"/>
      </w:tblGrid>
      <w:tr w:rsidR="00095137" w:rsidRPr="008F0173" w:rsidTr="00E018ED">
        <w:trPr>
          <w:trHeight w:val="612"/>
        </w:trPr>
        <w:tc>
          <w:tcPr>
            <w:tcW w:w="5670" w:type="dxa"/>
            <w:tcBorders>
              <w:top w:val="nil"/>
              <w:left w:val="nil"/>
              <w:bottom w:val="nil"/>
              <w:right w:val="nil"/>
            </w:tcBorders>
            <w:shd w:val="clear" w:color="000000" w:fill="FFFFFF"/>
            <w:noWrap/>
            <w:vAlign w:val="bottom"/>
            <w:hideMark/>
          </w:tcPr>
          <w:p w:rsidR="00095137" w:rsidRPr="008F0173" w:rsidRDefault="00095137" w:rsidP="00D337C4">
            <w:pPr>
              <w:rPr>
                <w:rFonts w:ascii="Perpetua" w:hAnsi="Perpetua" w:cs="Calibri"/>
                <w:color w:val="000000"/>
                <w:sz w:val="20"/>
                <w:szCs w:val="20"/>
              </w:rPr>
            </w:pPr>
            <w:r w:rsidRPr="008F0173">
              <w:rPr>
                <w:rFonts w:ascii="Perpetua" w:hAnsi="Perpetua" w:cs="Calibri"/>
                <w:color w:val="000000"/>
                <w:sz w:val="20"/>
                <w:szCs w:val="20"/>
              </w:rPr>
              <w:t> </w:t>
            </w:r>
          </w:p>
        </w:tc>
        <w:tc>
          <w:tcPr>
            <w:tcW w:w="1701" w:type="dxa"/>
            <w:tcBorders>
              <w:top w:val="single" w:sz="4" w:space="0" w:color="808080"/>
              <w:left w:val="single" w:sz="4" w:space="0" w:color="808080"/>
              <w:bottom w:val="single" w:sz="4" w:space="0" w:color="808080"/>
              <w:right w:val="single" w:sz="4" w:space="0" w:color="808080"/>
            </w:tcBorders>
            <w:shd w:val="clear" w:color="000000" w:fill="FFC000"/>
            <w:noWrap/>
            <w:vAlign w:val="center"/>
            <w:hideMark/>
          </w:tcPr>
          <w:p w:rsidR="00095137" w:rsidRPr="008F0173" w:rsidRDefault="00095137" w:rsidP="00D337C4">
            <w:pPr>
              <w:jc w:val="center"/>
              <w:rPr>
                <w:rFonts w:ascii="Perpetua" w:hAnsi="Perpetua" w:cs="Calibri"/>
                <w:b/>
                <w:bCs/>
                <w:color w:val="000000"/>
                <w:sz w:val="20"/>
                <w:szCs w:val="20"/>
              </w:rPr>
            </w:pPr>
            <w:r w:rsidRPr="008F0173">
              <w:rPr>
                <w:rFonts w:ascii="Perpetua" w:hAnsi="Perpetua" w:cs="Calibri"/>
                <w:b/>
                <w:bCs/>
                <w:color w:val="000000"/>
                <w:sz w:val="20"/>
                <w:szCs w:val="20"/>
              </w:rPr>
              <w:t>2024</w:t>
            </w:r>
          </w:p>
        </w:tc>
        <w:tc>
          <w:tcPr>
            <w:tcW w:w="1701" w:type="dxa"/>
            <w:tcBorders>
              <w:top w:val="single" w:sz="4" w:space="0" w:color="808080"/>
              <w:left w:val="nil"/>
              <w:bottom w:val="single" w:sz="4" w:space="0" w:color="808080"/>
              <w:right w:val="single" w:sz="4" w:space="0" w:color="808080"/>
            </w:tcBorders>
            <w:shd w:val="clear" w:color="000000" w:fill="FFC000"/>
            <w:noWrap/>
            <w:vAlign w:val="center"/>
            <w:hideMark/>
          </w:tcPr>
          <w:p w:rsidR="00095137" w:rsidRPr="008F0173" w:rsidRDefault="00095137" w:rsidP="00D337C4">
            <w:pPr>
              <w:jc w:val="center"/>
              <w:rPr>
                <w:rFonts w:ascii="Perpetua" w:hAnsi="Perpetua" w:cs="Calibri"/>
                <w:b/>
                <w:bCs/>
                <w:color w:val="000000"/>
                <w:sz w:val="20"/>
                <w:szCs w:val="20"/>
              </w:rPr>
            </w:pPr>
            <w:r w:rsidRPr="008F0173">
              <w:rPr>
                <w:rFonts w:ascii="Perpetua" w:hAnsi="Perpetua" w:cs="Calibri"/>
                <w:b/>
                <w:bCs/>
                <w:color w:val="000000"/>
                <w:sz w:val="20"/>
                <w:szCs w:val="20"/>
              </w:rPr>
              <w:t>2025</w:t>
            </w:r>
          </w:p>
        </w:tc>
      </w:tr>
      <w:tr w:rsidR="00095137" w:rsidRPr="008F0173" w:rsidTr="00E018ED">
        <w:trPr>
          <w:trHeight w:val="408"/>
        </w:trPr>
        <w:tc>
          <w:tcPr>
            <w:tcW w:w="5670" w:type="dxa"/>
            <w:tcBorders>
              <w:top w:val="single" w:sz="4" w:space="0" w:color="808080"/>
              <w:left w:val="single" w:sz="4" w:space="0" w:color="808080"/>
              <w:bottom w:val="single" w:sz="4" w:space="0" w:color="808080"/>
              <w:right w:val="nil"/>
            </w:tcBorders>
            <w:shd w:val="clear" w:color="000000" w:fill="E7E6E6"/>
            <w:vAlign w:val="center"/>
            <w:hideMark/>
          </w:tcPr>
          <w:p w:rsidR="00095137" w:rsidRPr="008F0173" w:rsidRDefault="00095137" w:rsidP="00D337C4">
            <w:pPr>
              <w:rPr>
                <w:rFonts w:ascii="Perpetua" w:hAnsi="Perpetua" w:cs="Calibri"/>
                <w:color w:val="000000"/>
                <w:sz w:val="20"/>
                <w:szCs w:val="20"/>
              </w:rPr>
            </w:pPr>
            <w:r w:rsidRPr="008F0173">
              <w:rPr>
                <w:rFonts w:ascii="Perpetua" w:hAnsi="Perpetua" w:cs="Calibri"/>
                <w:color w:val="000000"/>
                <w:sz w:val="20"/>
                <w:szCs w:val="20"/>
              </w:rPr>
              <w:t>Detrazioni come da Det. 2/DRIF/2021 comma 1.4 - PARTE VARIABILE</w:t>
            </w:r>
          </w:p>
        </w:tc>
        <w:tc>
          <w:tcPr>
            <w:tcW w:w="1701" w:type="dxa"/>
            <w:tcBorders>
              <w:top w:val="nil"/>
              <w:left w:val="single" w:sz="4" w:space="0" w:color="808080"/>
              <w:bottom w:val="single" w:sz="4" w:space="0" w:color="808080"/>
              <w:right w:val="single" w:sz="4" w:space="0" w:color="808080"/>
            </w:tcBorders>
            <w:shd w:val="clear" w:color="000000" w:fill="FFFFFF"/>
            <w:noWrap/>
            <w:vAlign w:val="center"/>
            <w:hideMark/>
          </w:tcPr>
          <w:p w:rsidR="00095137" w:rsidRPr="008F0173" w:rsidRDefault="004759B7" w:rsidP="00D337C4">
            <w:pPr>
              <w:jc w:val="right"/>
              <w:rPr>
                <w:rFonts w:ascii="Perpetua" w:hAnsi="Perpetua" w:cs="Calibri"/>
                <w:color w:val="000000"/>
                <w:sz w:val="20"/>
                <w:szCs w:val="20"/>
              </w:rPr>
            </w:pPr>
            <w:r>
              <w:rPr>
                <w:rFonts w:ascii="Perpetua" w:hAnsi="Perpetua" w:cs="Calibri"/>
                <w:color w:val="000000"/>
                <w:sz w:val="20"/>
                <w:szCs w:val="20"/>
              </w:rPr>
              <w:t>0,00</w:t>
            </w:r>
            <w:r w:rsidR="00095137" w:rsidRPr="008F0173">
              <w:rPr>
                <w:rFonts w:ascii="Perpetua" w:hAnsi="Perpetua" w:cs="Calibri"/>
                <w:color w:val="000000"/>
                <w:sz w:val="20"/>
                <w:szCs w:val="20"/>
              </w:rPr>
              <w:t xml:space="preserve"> </w:t>
            </w:r>
          </w:p>
        </w:tc>
        <w:tc>
          <w:tcPr>
            <w:tcW w:w="1701" w:type="dxa"/>
            <w:tcBorders>
              <w:top w:val="nil"/>
              <w:left w:val="nil"/>
              <w:bottom w:val="single" w:sz="4" w:space="0" w:color="808080"/>
              <w:right w:val="single" w:sz="4" w:space="0" w:color="808080"/>
            </w:tcBorders>
            <w:shd w:val="clear" w:color="000000" w:fill="FFFFFF"/>
            <w:noWrap/>
            <w:vAlign w:val="center"/>
            <w:hideMark/>
          </w:tcPr>
          <w:p w:rsidR="00095137" w:rsidRPr="008F0173" w:rsidRDefault="004759B7" w:rsidP="00D337C4">
            <w:pPr>
              <w:jc w:val="right"/>
              <w:rPr>
                <w:rFonts w:ascii="Perpetua" w:hAnsi="Perpetua" w:cs="Calibri"/>
                <w:color w:val="000000"/>
                <w:sz w:val="20"/>
                <w:szCs w:val="20"/>
              </w:rPr>
            </w:pPr>
            <w:r>
              <w:rPr>
                <w:rFonts w:ascii="Perpetua" w:hAnsi="Perpetua" w:cs="Calibri"/>
                <w:color w:val="000000"/>
                <w:sz w:val="20"/>
                <w:szCs w:val="20"/>
              </w:rPr>
              <w:t>0,00</w:t>
            </w:r>
          </w:p>
        </w:tc>
      </w:tr>
      <w:tr w:rsidR="00095137" w:rsidRPr="008F0173" w:rsidTr="00E018ED">
        <w:trPr>
          <w:trHeight w:val="408"/>
        </w:trPr>
        <w:tc>
          <w:tcPr>
            <w:tcW w:w="5670" w:type="dxa"/>
            <w:tcBorders>
              <w:top w:val="nil"/>
              <w:left w:val="single" w:sz="4" w:space="0" w:color="808080"/>
              <w:bottom w:val="single" w:sz="4" w:space="0" w:color="808080"/>
              <w:right w:val="nil"/>
            </w:tcBorders>
            <w:shd w:val="clear" w:color="000000" w:fill="E7E6E6"/>
            <w:vAlign w:val="center"/>
            <w:hideMark/>
          </w:tcPr>
          <w:p w:rsidR="00095137" w:rsidRPr="008F0173" w:rsidRDefault="00095137" w:rsidP="00D337C4">
            <w:pPr>
              <w:rPr>
                <w:rFonts w:ascii="Perpetua" w:hAnsi="Perpetua" w:cs="Calibri"/>
                <w:color w:val="000000"/>
                <w:sz w:val="20"/>
                <w:szCs w:val="20"/>
              </w:rPr>
            </w:pPr>
            <w:r w:rsidRPr="008F0173">
              <w:rPr>
                <w:rFonts w:ascii="Perpetua" w:hAnsi="Perpetua" w:cs="Calibri"/>
                <w:color w:val="000000"/>
                <w:sz w:val="20"/>
                <w:szCs w:val="20"/>
              </w:rPr>
              <w:t>Detrazioni come da Det. 2/DRIF/2021 comma 1.4  - PARTE FISSA</w:t>
            </w:r>
          </w:p>
        </w:tc>
        <w:tc>
          <w:tcPr>
            <w:tcW w:w="1701" w:type="dxa"/>
            <w:tcBorders>
              <w:top w:val="nil"/>
              <w:left w:val="single" w:sz="4" w:space="0" w:color="808080"/>
              <w:bottom w:val="single" w:sz="4" w:space="0" w:color="808080"/>
              <w:right w:val="single" w:sz="4" w:space="0" w:color="808080"/>
            </w:tcBorders>
            <w:shd w:val="clear" w:color="000000" w:fill="FFFFFF"/>
            <w:noWrap/>
            <w:vAlign w:val="center"/>
            <w:hideMark/>
          </w:tcPr>
          <w:p w:rsidR="00095137" w:rsidRPr="008F0173" w:rsidRDefault="00095137" w:rsidP="00D337C4">
            <w:pPr>
              <w:jc w:val="right"/>
              <w:rPr>
                <w:rFonts w:ascii="Perpetua" w:hAnsi="Perpetua" w:cs="Calibri"/>
                <w:color w:val="000000"/>
                <w:sz w:val="20"/>
                <w:szCs w:val="20"/>
              </w:rPr>
            </w:pPr>
            <w:r w:rsidRPr="008F0173">
              <w:rPr>
                <w:rFonts w:ascii="Perpetua" w:hAnsi="Perpetua" w:cs="Calibri"/>
                <w:color w:val="000000"/>
                <w:sz w:val="20"/>
                <w:szCs w:val="20"/>
              </w:rPr>
              <w:t xml:space="preserve">  </w:t>
            </w:r>
          </w:p>
        </w:tc>
        <w:tc>
          <w:tcPr>
            <w:tcW w:w="1701" w:type="dxa"/>
            <w:tcBorders>
              <w:top w:val="nil"/>
              <w:left w:val="nil"/>
              <w:bottom w:val="single" w:sz="4" w:space="0" w:color="808080"/>
              <w:right w:val="single" w:sz="4" w:space="0" w:color="808080"/>
            </w:tcBorders>
            <w:shd w:val="clear" w:color="000000" w:fill="FFFFFF"/>
            <w:noWrap/>
            <w:vAlign w:val="center"/>
            <w:hideMark/>
          </w:tcPr>
          <w:p w:rsidR="00095137" w:rsidRPr="008F0173" w:rsidRDefault="00095137" w:rsidP="00D337C4">
            <w:pPr>
              <w:jc w:val="right"/>
              <w:rPr>
                <w:rFonts w:ascii="Perpetua" w:hAnsi="Perpetua" w:cs="Calibri"/>
                <w:color w:val="000000"/>
                <w:sz w:val="20"/>
                <w:szCs w:val="20"/>
              </w:rPr>
            </w:pPr>
          </w:p>
        </w:tc>
      </w:tr>
      <w:tr w:rsidR="007C6FDB" w:rsidRPr="008F0173" w:rsidTr="00E018ED">
        <w:trPr>
          <w:trHeight w:val="408"/>
        </w:trPr>
        <w:tc>
          <w:tcPr>
            <w:tcW w:w="5670" w:type="dxa"/>
            <w:tcBorders>
              <w:top w:val="nil"/>
              <w:left w:val="single" w:sz="4" w:space="0" w:color="808080"/>
              <w:bottom w:val="single" w:sz="4" w:space="0" w:color="808080"/>
              <w:right w:val="nil"/>
            </w:tcBorders>
            <w:shd w:val="clear" w:color="000000" w:fill="E7E6E6"/>
            <w:vAlign w:val="center"/>
            <w:hideMark/>
          </w:tcPr>
          <w:p w:rsidR="007C6FDB" w:rsidRPr="008F0173" w:rsidRDefault="007C6FDB" w:rsidP="007C6FDB">
            <w:pPr>
              <w:rPr>
                <w:rFonts w:ascii="Perpetua" w:hAnsi="Perpetua" w:cs="Calibri"/>
                <w:color w:val="000000"/>
                <w:sz w:val="20"/>
                <w:szCs w:val="20"/>
              </w:rPr>
            </w:pPr>
            <w:r w:rsidRPr="008F0173">
              <w:rPr>
                <w:rFonts w:ascii="Perpetua" w:hAnsi="Perpetua" w:cs="Calibri"/>
                <w:color w:val="000000"/>
                <w:sz w:val="20"/>
                <w:szCs w:val="20"/>
              </w:rPr>
              <w:t>Detrazioni come da Det. 2/DRIF/2021 comma 1.4 - TOTALE</w:t>
            </w:r>
          </w:p>
        </w:tc>
        <w:tc>
          <w:tcPr>
            <w:tcW w:w="1701" w:type="dxa"/>
            <w:tcBorders>
              <w:top w:val="nil"/>
              <w:left w:val="single" w:sz="4" w:space="0" w:color="808080"/>
              <w:bottom w:val="single" w:sz="4" w:space="0" w:color="808080"/>
              <w:right w:val="single" w:sz="4" w:space="0" w:color="808080"/>
            </w:tcBorders>
            <w:shd w:val="clear" w:color="000000" w:fill="E7E6E6"/>
            <w:noWrap/>
            <w:vAlign w:val="center"/>
            <w:hideMark/>
          </w:tcPr>
          <w:p w:rsidR="007C6FDB" w:rsidRPr="008F0173" w:rsidRDefault="004759B7" w:rsidP="007C6FDB">
            <w:pPr>
              <w:jc w:val="right"/>
              <w:rPr>
                <w:rFonts w:ascii="Perpetua" w:hAnsi="Perpetua" w:cs="Calibri"/>
                <w:color w:val="000000"/>
                <w:sz w:val="20"/>
                <w:szCs w:val="20"/>
              </w:rPr>
            </w:pPr>
            <w:r>
              <w:rPr>
                <w:rFonts w:ascii="Perpetua" w:hAnsi="Perpetua" w:cs="Calibri"/>
                <w:color w:val="000000"/>
                <w:sz w:val="20"/>
                <w:szCs w:val="20"/>
              </w:rPr>
              <w:t>0,00</w:t>
            </w:r>
          </w:p>
        </w:tc>
        <w:tc>
          <w:tcPr>
            <w:tcW w:w="1701" w:type="dxa"/>
            <w:tcBorders>
              <w:top w:val="nil"/>
              <w:left w:val="nil"/>
              <w:bottom w:val="single" w:sz="4" w:space="0" w:color="808080"/>
              <w:right w:val="single" w:sz="4" w:space="0" w:color="808080"/>
            </w:tcBorders>
            <w:shd w:val="clear" w:color="000000" w:fill="E7E6E6"/>
            <w:noWrap/>
            <w:vAlign w:val="center"/>
            <w:hideMark/>
          </w:tcPr>
          <w:p w:rsidR="007C6FDB" w:rsidRPr="008F0173" w:rsidRDefault="004759B7" w:rsidP="007C6FDB">
            <w:pPr>
              <w:jc w:val="right"/>
              <w:rPr>
                <w:rFonts w:ascii="Perpetua" w:hAnsi="Perpetua" w:cs="Calibri"/>
                <w:color w:val="000000"/>
                <w:sz w:val="20"/>
                <w:szCs w:val="20"/>
              </w:rPr>
            </w:pPr>
            <w:r>
              <w:rPr>
                <w:rFonts w:ascii="Perpetua" w:hAnsi="Perpetua" w:cs="Calibri"/>
                <w:color w:val="000000"/>
                <w:sz w:val="20"/>
                <w:szCs w:val="20"/>
              </w:rPr>
              <w:t>0,00</w:t>
            </w:r>
          </w:p>
        </w:tc>
      </w:tr>
    </w:tbl>
    <w:p w:rsidR="00766B5B" w:rsidRDefault="00766B5B" w:rsidP="006B602D">
      <w:pPr>
        <w:pStyle w:val="Default"/>
        <w:jc w:val="both"/>
        <w:rPr>
          <w:rFonts w:ascii="Times New Roman" w:hAnsi="Times New Roman" w:cs="Times New Roman"/>
        </w:rPr>
      </w:pPr>
    </w:p>
    <w:p w:rsidR="00095137" w:rsidRPr="003C2C41" w:rsidRDefault="00095137" w:rsidP="006B602D">
      <w:pPr>
        <w:pStyle w:val="Default"/>
        <w:jc w:val="both"/>
        <w:rPr>
          <w:rFonts w:ascii="Times New Roman" w:hAnsi="Times New Roman" w:cs="Times New Roman"/>
        </w:rPr>
      </w:pPr>
    </w:p>
    <w:p w:rsidR="00766B5B" w:rsidRPr="007C6FDB" w:rsidRDefault="00D85BA9" w:rsidP="007C6FDB">
      <w:pPr>
        <w:pStyle w:val="Default"/>
        <w:spacing w:line="360" w:lineRule="auto"/>
        <w:jc w:val="both"/>
        <w:rPr>
          <w:rFonts w:ascii="Perpetua" w:hAnsi="Perpetua" w:cs="Times New Roman"/>
        </w:rPr>
      </w:pPr>
      <w:r w:rsidRPr="007C6FDB">
        <w:rPr>
          <w:rFonts w:ascii="Perpetua" w:hAnsi="Perpetua" w:cs="Times New Roman"/>
        </w:rPr>
        <w:t>7</w:t>
      </w:r>
      <w:r w:rsidR="00766B5B" w:rsidRPr="007C6FDB">
        <w:rPr>
          <w:rFonts w:ascii="Perpetua" w:hAnsi="Perpetua" w:cs="Times New Roman"/>
        </w:rPr>
        <w:t>) di approvare la Relazione di accompagnamento redatta secondo lo schema tipo di cui all’Allegato 2 della d</w:t>
      </w:r>
      <w:r w:rsidR="00766B5B" w:rsidRPr="007C6FDB">
        <w:rPr>
          <w:rFonts w:ascii="Perpetua" w:hAnsi="Perpetua" w:cs="Times New Roman"/>
        </w:rPr>
        <w:t>e</w:t>
      </w:r>
      <w:r w:rsidR="00766B5B" w:rsidRPr="007C6FDB">
        <w:rPr>
          <w:rFonts w:ascii="Perpetua" w:hAnsi="Perpetua" w:cs="Times New Roman"/>
        </w:rPr>
        <w:t xml:space="preserve">terminazione </w:t>
      </w:r>
      <w:r w:rsidRPr="007C6FDB">
        <w:rPr>
          <w:rFonts w:ascii="Perpetua" w:hAnsi="Perpetua" w:cs="Times New Roman"/>
        </w:rPr>
        <w:t>N. 1/DTAC/2023</w:t>
      </w:r>
      <w:r w:rsidR="00766B5B" w:rsidRPr="007C6FDB">
        <w:rPr>
          <w:rFonts w:ascii="Perpetua" w:hAnsi="Perpetua" w:cs="Times New Roman"/>
        </w:rPr>
        <w:t xml:space="preserve">, </w:t>
      </w:r>
    </w:p>
    <w:p w:rsidR="00766B5B" w:rsidRPr="007C6FDB" w:rsidRDefault="00D85BA9" w:rsidP="007C6FDB">
      <w:pPr>
        <w:pStyle w:val="Default"/>
        <w:spacing w:line="360" w:lineRule="auto"/>
        <w:jc w:val="both"/>
        <w:rPr>
          <w:rFonts w:ascii="Perpetua" w:hAnsi="Perpetua" w:cs="Times New Roman"/>
        </w:rPr>
      </w:pPr>
      <w:r w:rsidRPr="007C6FDB">
        <w:rPr>
          <w:rFonts w:ascii="Perpetua" w:hAnsi="Perpetua" w:cs="Times New Roman"/>
        </w:rPr>
        <w:t>8</w:t>
      </w:r>
      <w:r w:rsidR="00766B5B" w:rsidRPr="007C6FDB">
        <w:rPr>
          <w:rFonts w:ascii="Perpetua" w:hAnsi="Perpetua" w:cs="Times New Roman"/>
        </w:rPr>
        <w:t xml:space="preserve">) di trasmettere il presente atto al Comune di </w:t>
      </w:r>
      <w:r w:rsidR="00701D04">
        <w:rPr>
          <w:rFonts w:ascii="Perpetua" w:hAnsi="Perpetua" w:cs="Times New Roman"/>
        </w:rPr>
        <w:t>Terrasini</w:t>
      </w:r>
      <w:r w:rsidR="00766B5B" w:rsidRPr="007C6FDB">
        <w:rPr>
          <w:rFonts w:ascii="Perpetua" w:hAnsi="Perpetua" w:cs="Times New Roman"/>
        </w:rPr>
        <w:t xml:space="preserve"> per le deliberazioni conseguenti; </w:t>
      </w:r>
    </w:p>
    <w:p w:rsidR="00766B5B" w:rsidRPr="007C6FDB" w:rsidRDefault="00D85BA9" w:rsidP="007C6FDB">
      <w:pPr>
        <w:pStyle w:val="Default"/>
        <w:spacing w:line="360" w:lineRule="auto"/>
        <w:jc w:val="both"/>
        <w:rPr>
          <w:rFonts w:ascii="Perpetua" w:hAnsi="Perpetua" w:cs="Times New Roman"/>
        </w:rPr>
      </w:pPr>
      <w:r w:rsidRPr="007C6FDB">
        <w:rPr>
          <w:rFonts w:ascii="Perpetua" w:hAnsi="Perpetua" w:cs="Times New Roman"/>
        </w:rPr>
        <w:t>9</w:t>
      </w:r>
      <w:r w:rsidR="00766B5B" w:rsidRPr="007C6FDB">
        <w:rPr>
          <w:rFonts w:ascii="Perpetua" w:hAnsi="Perpetua" w:cs="Times New Roman"/>
        </w:rPr>
        <w:t>) di trasmettere ad ARERA il presente atto, il PEF 202</w:t>
      </w:r>
      <w:r w:rsidRPr="007C6FDB">
        <w:rPr>
          <w:rFonts w:ascii="Perpetua" w:hAnsi="Perpetua" w:cs="Times New Roman"/>
        </w:rPr>
        <w:t>4</w:t>
      </w:r>
      <w:r w:rsidR="00766B5B" w:rsidRPr="007C6FDB">
        <w:rPr>
          <w:rFonts w:ascii="Perpetua" w:hAnsi="Perpetua" w:cs="Times New Roman"/>
        </w:rPr>
        <w:t>-2025</w:t>
      </w:r>
      <w:r w:rsidRPr="007C6FDB">
        <w:rPr>
          <w:rFonts w:ascii="Perpetua" w:hAnsi="Perpetua" w:cs="Times New Roman"/>
        </w:rPr>
        <w:t xml:space="preserve"> approvato dal consiglio comunale </w:t>
      </w:r>
      <w:r w:rsidR="00766B5B" w:rsidRPr="007C6FDB">
        <w:rPr>
          <w:rFonts w:ascii="Perpetua" w:hAnsi="Perpetua" w:cs="Times New Roman"/>
        </w:rPr>
        <w:t xml:space="preserve">e l’ulteriore documentazione richiesta, tramite l’apposita procedura </w:t>
      </w:r>
      <w:r w:rsidR="00766B5B" w:rsidRPr="003A67D2">
        <w:rPr>
          <w:rFonts w:ascii="Perpetua" w:hAnsi="Perpetua" w:cs="Times New Roman"/>
          <w:i/>
          <w:iCs/>
        </w:rPr>
        <w:t>extranet</w:t>
      </w:r>
      <w:r w:rsidR="00766B5B" w:rsidRPr="007C6FDB">
        <w:rPr>
          <w:rFonts w:ascii="Perpetua" w:hAnsi="Perpetua" w:cs="Times New Roman"/>
        </w:rPr>
        <w:t xml:space="preserve"> di Raccolta dati resa disponibile da ARERA stessa</w:t>
      </w:r>
      <w:r w:rsidR="00095137" w:rsidRPr="007C6FDB">
        <w:rPr>
          <w:rFonts w:ascii="Perpetua" w:hAnsi="Perpetua" w:cs="Times New Roman"/>
        </w:rPr>
        <w:t>, nei termini di cui alla delibera</w:t>
      </w:r>
      <w:r w:rsidR="00401A9C" w:rsidRPr="007C6FDB">
        <w:rPr>
          <w:rFonts w:ascii="Perpetua" w:hAnsi="Perpetua" w:cs="Times New Roman"/>
        </w:rPr>
        <w:t xml:space="preserve"> 363/21 e </w:t>
      </w:r>
      <w:proofErr w:type="spellStart"/>
      <w:r w:rsidR="00401A9C" w:rsidRPr="007C6FDB">
        <w:rPr>
          <w:rFonts w:ascii="Perpetua" w:hAnsi="Perpetua" w:cs="Times New Roman"/>
        </w:rPr>
        <w:t>ss.mm.ii.</w:t>
      </w:r>
      <w:proofErr w:type="spellEnd"/>
      <w:r w:rsidR="00766B5B" w:rsidRPr="007C6FDB">
        <w:rPr>
          <w:rFonts w:ascii="Perpetua" w:hAnsi="Perpetua" w:cs="Times New Roman"/>
        </w:rPr>
        <w:t xml:space="preserve">; </w:t>
      </w:r>
    </w:p>
    <w:p w:rsidR="00406ECE" w:rsidRPr="007C6FDB" w:rsidRDefault="00D85BA9" w:rsidP="007C6FDB">
      <w:pPr>
        <w:pStyle w:val="Default"/>
        <w:spacing w:line="360" w:lineRule="auto"/>
        <w:jc w:val="both"/>
        <w:rPr>
          <w:rFonts w:ascii="Perpetua" w:hAnsi="Perpetua" w:cs="Times New Roman"/>
        </w:rPr>
      </w:pPr>
      <w:r w:rsidRPr="007C6FDB">
        <w:rPr>
          <w:rFonts w:ascii="Perpetua" w:hAnsi="Perpetua" w:cs="Times New Roman"/>
        </w:rPr>
        <w:t>10</w:t>
      </w:r>
      <w:r w:rsidR="00766B5B" w:rsidRPr="007C6FDB">
        <w:rPr>
          <w:rFonts w:ascii="Perpetua" w:hAnsi="Perpetua" w:cs="Times New Roman"/>
        </w:rPr>
        <w:t>) di pubblicare il presente atto nelle forme di legge</w:t>
      </w:r>
      <w:r w:rsidR="00406ECE" w:rsidRPr="007C6FDB">
        <w:rPr>
          <w:rFonts w:ascii="Perpetua" w:hAnsi="Perpetua" w:cs="Times New Roman"/>
        </w:rPr>
        <w:t>;</w:t>
      </w:r>
    </w:p>
    <w:p w:rsidR="00406ECE" w:rsidRPr="007C6FDB" w:rsidRDefault="00406ECE" w:rsidP="007C6FDB">
      <w:pPr>
        <w:pStyle w:val="Default"/>
        <w:spacing w:line="360" w:lineRule="auto"/>
        <w:jc w:val="both"/>
        <w:rPr>
          <w:rFonts w:ascii="Perpetua" w:eastAsia="Times New Roman" w:hAnsi="Perpetua" w:cs="Times New Roman"/>
        </w:rPr>
      </w:pPr>
      <w:r w:rsidRPr="007C6FDB">
        <w:rPr>
          <w:rFonts w:ascii="Perpetua" w:hAnsi="Perpetua" w:cs="Times New Roman"/>
        </w:rPr>
        <w:t>11) d</w:t>
      </w:r>
      <w:r w:rsidR="00963D2B" w:rsidRPr="007C6FDB">
        <w:rPr>
          <w:rFonts w:ascii="Perpetua" w:eastAsia="Times New Roman" w:hAnsi="Perpetua" w:cs="Times New Roman"/>
        </w:rPr>
        <w:t>i dichiarare</w:t>
      </w:r>
      <w:r w:rsidR="00963D2B" w:rsidRPr="007C6FDB">
        <w:rPr>
          <w:rFonts w:ascii="Perpetua" w:eastAsia="Times New Roman" w:hAnsi="Perpetua" w:cs="Times New Roman"/>
          <w:b/>
        </w:rPr>
        <w:t xml:space="preserve"> </w:t>
      </w:r>
      <w:r w:rsidR="00963D2B" w:rsidRPr="007C6FDB">
        <w:rPr>
          <w:rFonts w:ascii="Perpetua" w:eastAsia="Times New Roman" w:hAnsi="Perpetua" w:cs="Times New Roman"/>
        </w:rPr>
        <w:t>il provvedimento finale immediatamente esecutivo ed efficace ad ogni effetto di legge o di r</w:t>
      </w:r>
      <w:r w:rsidR="00963D2B" w:rsidRPr="007C6FDB">
        <w:rPr>
          <w:rFonts w:ascii="Perpetua" w:eastAsia="Times New Roman" w:hAnsi="Perpetua" w:cs="Times New Roman"/>
        </w:rPr>
        <w:t>e</w:t>
      </w:r>
      <w:r w:rsidR="00963D2B" w:rsidRPr="007C6FDB">
        <w:rPr>
          <w:rFonts w:ascii="Perpetua" w:eastAsia="Times New Roman" w:hAnsi="Perpetua" w:cs="Times New Roman"/>
        </w:rPr>
        <w:t>golamento all’uopo applicabile;</w:t>
      </w:r>
    </w:p>
    <w:p w:rsidR="002374F1" w:rsidRPr="003C2C41" w:rsidRDefault="002374F1" w:rsidP="006B602D">
      <w:pPr>
        <w:widowControl w:val="0"/>
        <w:suppressAutoHyphens w:val="0"/>
        <w:spacing w:before="57" w:after="57" w:line="276" w:lineRule="auto"/>
        <w:ind w:left="720"/>
        <w:jc w:val="both"/>
        <w:rPr>
          <w:rFonts w:ascii="Times New Roman" w:eastAsia="Times New Roman" w:hAnsi="Times New Roman" w:cs="Times New Roman"/>
        </w:rPr>
      </w:pPr>
    </w:p>
    <w:p w:rsidR="004342A8" w:rsidRPr="00BA1FD9" w:rsidRDefault="00B37609" w:rsidP="003A67D2">
      <w:pPr>
        <w:pStyle w:val="Normale1"/>
        <w:ind w:left="5676"/>
        <w:rPr>
          <w:rFonts w:ascii="Perpetua" w:hAnsi="Perpetua"/>
        </w:rPr>
      </w:pPr>
      <w:r>
        <w:rPr>
          <w:rFonts w:ascii="Perpetua" w:hAnsi="Perpetua"/>
          <w:b/>
          <w:bCs/>
          <w:noProof/>
        </w:rPr>
        <w:drawing>
          <wp:anchor distT="0" distB="0" distL="114300" distR="114300" simplePos="0" relativeHeight="251659264" behindDoc="0" locked="0" layoutInCell="1" allowOverlap="1">
            <wp:simplePos x="0" y="0"/>
            <wp:positionH relativeFrom="column">
              <wp:posOffset>4112895</wp:posOffset>
            </wp:positionH>
            <wp:positionV relativeFrom="paragraph">
              <wp:posOffset>1270</wp:posOffset>
            </wp:positionV>
            <wp:extent cx="1266825" cy="564515"/>
            <wp:effectExtent l="19050" t="0" r="9525" b="0"/>
            <wp:wrapNone/>
            <wp:docPr id="1" name="Immagine 2" descr="C:\Users\PLT042\Desktop\Firma Tubi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T042\Desktop\Firma Tubiolo.png"/>
                    <pic:cNvPicPr>
                      <a:picLocks noChangeAspect="1" noChangeArrowheads="1"/>
                    </pic:cNvPicPr>
                  </pic:nvPicPr>
                  <pic:blipFill>
                    <a:blip r:embed="rId8" cstate="print"/>
                    <a:srcRect/>
                    <a:stretch>
                      <a:fillRect/>
                    </a:stretch>
                  </pic:blipFill>
                  <pic:spPr bwMode="auto">
                    <a:xfrm>
                      <a:off x="0" y="0"/>
                      <a:ext cx="1266825" cy="564515"/>
                    </a:xfrm>
                    <a:prstGeom prst="rect">
                      <a:avLst/>
                    </a:prstGeom>
                    <a:noFill/>
                    <a:ln w="9525">
                      <a:noFill/>
                      <a:miter lim="800000"/>
                      <a:headEnd/>
                      <a:tailEnd/>
                    </a:ln>
                  </pic:spPr>
                </pic:pic>
              </a:graphicData>
            </a:graphic>
          </wp:anchor>
        </w:drawing>
      </w:r>
      <w:r w:rsidR="005E4085" w:rsidRPr="00BA1FD9">
        <w:rPr>
          <w:rStyle w:val="Nessuno"/>
          <w:rFonts w:ascii="Perpetua" w:hAnsi="Perpetua"/>
          <w:b/>
          <w:bCs/>
        </w:rPr>
        <w:t xml:space="preserve">                 </w:t>
      </w:r>
      <w:r w:rsidR="00571FE5" w:rsidRPr="00BA1FD9">
        <w:rPr>
          <w:rStyle w:val="Nessuno"/>
          <w:rFonts w:ascii="Perpetua" w:hAnsi="Perpetua"/>
          <w:b/>
          <w:bCs/>
        </w:rPr>
        <w:t xml:space="preserve"> </w:t>
      </w:r>
      <w:r w:rsidR="005E4085" w:rsidRPr="00BA1FD9">
        <w:rPr>
          <w:rStyle w:val="Nessuno"/>
          <w:rFonts w:ascii="Perpetua" w:hAnsi="Perpetua"/>
          <w:b/>
          <w:bCs/>
        </w:rPr>
        <w:t>Il Presidente</w:t>
      </w:r>
    </w:p>
    <w:p w:rsidR="004342A8" w:rsidRPr="00BA1FD9" w:rsidRDefault="005E4085" w:rsidP="003A67D2">
      <w:pPr>
        <w:pStyle w:val="Normale1"/>
        <w:ind w:left="5664" w:firstLine="12"/>
        <w:rPr>
          <w:rFonts w:ascii="Perpetua" w:hAnsi="Perpetua"/>
        </w:rPr>
      </w:pPr>
      <w:r w:rsidRPr="00BA1FD9">
        <w:rPr>
          <w:rStyle w:val="Nessuno"/>
          <w:rFonts w:ascii="Perpetua" w:hAnsi="Perpetua"/>
          <w:i/>
          <w:iCs/>
        </w:rPr>
        <w:t xml:space="preserve">           </w:t>
      </w:r>
      <w:r w:rsidR="00AC76A2" w:rsidRPr="00BA1FD9">
        <w:rPr>
          <w:rStyle w:val="Nessuno"/>
          <w:rFonts w:ascii="Perpetua" w:hAnsi="Perpetua"/>
          <w:i/>
          <w:iCs/>
        </w:rPr>
        <w:t xml:space="preserve"> </w:t>
      </w:r>
      <w:r w:rsidR="008302D1" w:rsidRPr="00BA1FD9">
        <w:rPr>
          <w:rStyle w:val="Nessuno"/>
          <w:rFonts w:ascii="Perpetua" w:hAnsi="Perpetua"/>
          <w:i/>
          <w:iCs/>
        </w:rPr>
        <w:t xml:space="preserve"> </w:t>
      </w:r>
      <w:r w:rsidRPr="00BA1FD9">
        <w:rPr>
          <w:rStyle w:val="Nessuno"/>
          <w:rFonts w:ascii="Perpetua" w:hAnsi="Perpetua"/>
          <w:i/>
          <w:iCs/>
        </w:rPr>
        <w:t>(D</w:t>
      </w:r>
      <w:r w:rsidR="00BA1FD9">
        <w:rPr>
          <w:rStyle w:val="Nessuno"/>
          <w:rFonts w:ascii="Perpetua" w:hAnsi="Perpetua"/>
          <w:i/>
          <w:iCs/>
        </w:rPr>
        <w:t>ott</w:t>
      </w:r>
      <w:r w:rsidRPr="00BA1FD9">
        <w:rPr>
          <w:rStyle w:val="Nessuno"/>
          <w:rFonts w:ascii="Perpetua" w:hAnsi="Perpetua"/>
          <w:i/>
          <w:iCs/>
        </w:rPr>
        <w:t>. Natale Tubiolo)</w:t>
      </w:r>
    </w:p>
    <w:p w:rsidR="004342A8" w:rsidRPr="003C2C41" w:rsidRDefault="004342A8" w:rsidP="006B602D">
      <w:pPr>
        <w:spacing w:line="276" w:lineRule="auto"/>
        <w:jc w:val="both"/>
        <w:rPr>
          <w:rFonts w:ascii="Times New Roman" w:hAnsi="Times New Roman" w:cs="Times New Roman"/>
        </w:rPr>
      </w:pPr>
    </w:p>
    <w:sectPr w:rsidR="004342A8" w:rsidRPr="003C2C41" w:rsidSect="00EC18EE">
      <w:headerReference w:type="default" r:id="rId9"/>
      <w:footerReference w:type="default" r:id="rId10"/>
      <w:footnotePr>
        <w:pos w:val="beneathText"/>
      </w:footnotePr>
      <w:pgSz w:w="11906" w:h="16838"/>
      <w:pgMar w:top="1982" w:right="1134" w:bottom="1276" w:left="1134" w:header="574" w:footer="158"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1F" w:rsidRDefault="00D47F1F">
      <w:r>
        <w:separator/>
      </w:r>
    </w:p>
  </w:endnote>
  <w:endnote w:type="continuationSeparator" w:id="0">
    <w:p w:rsidR="00D47F1F" w:rsidRDefault="00D4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A8" w:rsidRDefault="005E4085">
    <w:pPr>
      <w:pStyle w:val="NormaleWeb1"/>
      <w:spacing w:before="0" w:after="0"/>
      <w:jc w:val="center"/>
    </w:pPr>
    <w:r>
      <w:rPr>
        <w:rStyle w:val="Nessuno"/>
        <w:rFonts w:ascii="Calibri" w:hAnsi="Calibri"/>
        <w:i/>
        <w:iCs/>
        <w:sz w:val="14"/>
        <w:szCs w:val="14"/>
      </w:rPr>
      <w:t>----------------------------------------------------------</w:t>
    </w:r>
  </w:p>
  <w:p w:rsidR="004342A8" w:rsidRDefault="005E4085">
    <w:pPr>
      <w:pStyle w:val="NormaleWeb1"/>
      <w:spacing w:before="0" w:after="0"/>
      <w:jc w:val="center"/>
    </w:pPr>
    <w:r>
      <w:rPr>
        <w:rStyle w:val="Nessuno"/>
        <w:rFonts w:ascii="Calibri" w:hAnsi="Calibri"/>
        <w:i/>
        <w:iCs/>
        <w:sz w:val="14"/>
        <w:szCs w:val="14"/>
      </w:rPr>
      <w:t xml:space="preserve">Società Regolamentazione del servizio di gestione Rifiuti “Palermo Area Metropolitana” </w:t>
    </w:r>
    <w:proofErr w:type="spellStart"/>
    <w:r>
      <w:rPr>
        <w:rStyle w:val="Nessuno"/>
        <w:rFonts w:ascii="Calibri" w:hAnsi="Calibri"/>
        <w:i/>
        <w:iCs/>
        <w:sz w:val="14"/>
        <w:szCs w:val="14"/>
      </w:rPr>
      <w:t>S.c.p.a.</w:t>
    </w:r>
    <w:proofErr w:type="spellEnd"/>
  </w:p>
  <w:p w:rsidR="004342A8" w:rsidRDefault="005E4085">
    <w:pPr>
      <w:pStyle w:val="NormaleWeb1"/>
      <w:spacing w:before="0" w:after="0"/>
      <w:jc w:val="center"/>
    </w:pPr>
    <w:r>
      <w:rPr>
        <w:rStyle w:val="Nessuno"/>
        <w:rFonts w:ascii="Calibri" w:hAnsi="Calibri"/>
        <w:sz w:val="14"/>
        <w:szCs w:val="14"/>
      </w:rPr>
      <w:t>Sede legale: Palermo – Piazza Pretoria 1 - Sede amministrativa: Palermo – Via Resuttana 360 - Capitale sociale: Euro 120.000,00</w:t>
    </w:r>
  </w:p>
  <w:p w:rsidR="004342A8" w:rsidRDefault="005E4085">
    <w:pPr>
      <w:pStyle w:val="NormaleWeb1"/>
      <w:spacing w:before="0" w:after="0"/>
      <w:jc w:val="center"/>
    </w:pPr>
    <w:r>
      <w:rPr>
        <w:rStyle w:val="Nessuno"/>
        <w:rFonts w:ascii="Calibri" w:hAnsi="Calibri"/>
        <w:sz w:val="14"/>
        <w:szCs w:val="14"/>
      </w:rPr>
      <w:t>Registro Imprese di Palermo/CF/PIVA: 06269510829 - R.E.A.: PA-309841</w:t>
    </w:r>
  </w:p>
  <w:p w:rsidR="004342A8" w:rsidRDefault="005E4085">
    <w:pPr>
      <w:pStyle w:val="NormaleWeb1"/>
      <w:spacing w:before="0" w:after="0"/>
      <w:jc w:val="center"/>
    </w:pPr>
    <w:r>
      <w:rPr>
        <w:rStyle w:val="Nessuno"/>
        <w:rFonts w:ascii="Calibri" w:hAnsi="Calibri"/>
        <w:sz w:val="14"/>
        <w:szCs w:val="14"/>
      </w:rPr>
      <w:t xml:space="preserve">Sito: </w:t>
    </w:r>
    <w:r>
      <w:rPr>
        <w:rStyle w:val="Nessuno"/>
        <w:rFonts w:ascii="Calibri" w:hAnsi="Calibri"/>
        <w:i/>
        <w:iCs/>
        <w:sz w:val="14"/>
        <w:szCs w:val="14"/>
      </w:rPr>
      <w:t>www.srrpalermo.it</w:t>
    </w:r>
    <w:r>
      <w:rPr>
        <w:rStyle w:val="Nessuno"/>
        <w:rFonts w:ascii="Calibri" w:hAnsi="Calibri"/>
        <w:sz w:val="14"/>
        <w:szCs w:val="14"/>
      </w:rPr>
      <w:t xml:space="preserve"> – e-mail: info@srrpalermo.it - PEC: </w:t>
    </w:r>
    <w:r>
      <w:rPr>
        <w:rStyle w:val="Nessuno"/>
        <w:rFonts w:ascii="Calibri" w:hAnsi="Calibri"/>
        <w:i/>
        <w:iCs/>
        <w:sz w:val="14"/>
        <w:szCs w:val="14"/>
      </w:rPr>
      <w:t>srrpalermo@legalmail.it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1F" w:rsidRDefault="00D47F1F">
      <w:r>
        <w:separator/>
      </w:r>
    </w:p>
  </w:footnote>
  <w:footnote w:type="continuationSeparator" w:id="0">
    <w:p w:rsidR="00D47F1F" w:rsidRDefault="00D47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A8" w:rsidRDefault="007D3280">
    <w:pPr>
      <w:pStyle w:val="Intestazione"/>
    </w:pPr>
    <w:r>
      <w:rPr>
        <w:noProof/>
        <w:sz w:val="20"/>
        <w:lang w:eastAsia="it-IT" w:bidi="ar-SA"/>
      </w:rPr>
      <w:drawing>
        <wp:anchor distT="0" distB="0" distL="114300" distR="114300" simplePos="0" relativeHeight="251663360" behindDoc="1" locked="0" layoutInCell="1" allowOverlap="1">
          <wp:simplePos x="0" y="0"/>
          <wp:positionH relativeFrom="column">
            <wp:posOffset>209550</wp:posOffset>
          </wp:positionH>
          <wp:positionV relativeFrom="paragraph">
            <wp:posOffset>-67310</wp:posOffset>
          </wp:positionV>
          <wp:extent cx="1173480" cy="504825"/>
          <wp:effectExtent l="0" t="0" r="7620" b="9525"/>
          <wp:wrapNone/>
          <wp:docPr id="3663824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9812" cy="51185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E04"/>
    <w:multiLevelType w:val="hybridMultilevel"/>
    <w:tmpl w:val="EC2AAAE0"/>
    <w:lvl w:ilvl="0" w:tplc="601EE092">
      <w:numFmt w:val="bullet"/>
      <w:lvlText w:val="-"/>
      <w:lvlJc w:val="left"/>
      <w:pPr>
        <w:ind w:left="720" w:hanging="360"/>
      </w:pPr>
      <w:rPr>
        <w:rFonts w:ascii="Times New Roman" w:eastAsia="N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A22DE"/>
    <w:multiLevelType w:val="multilevel"/>
    <w:tmpl w:val="B5CCEF96"/>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D937BD0"/>
    <w:multiLevelType w:val="multilevel"/>
    <w:tmpl w:val="389E69A8"/>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DEA0503"/>
    <w:multiLevelType w:val="hybridMultilevel"/>
    <w:tmpl w:val="04A20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4A70FE"/>
    <w:multiLevelType w:val="hybridMultilevel"/>
    <w:tmpl w:val="2020C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E73AA9"/>
    <w:multiLevelType w:val="hybridMultilevel"/>
    <w:tmpl w:val="6A62AA2A"/>
    <w:lvl w:ilvl="0" w:tplc="6B307A76">
      <w:start w:val="1"/>
      <w:numFmt w:val="bullet"/>
      <w:lvlText w:val="-"/>
      <w:lvlJc w:val="left"/>
      <w:pPr>
        <w:ind w:left="720" w:hanging="360"/>
      </w:pPr>
      <w:rPr>
        <w:rFonts w:ascii="Times New Roman" w:eastAsia="N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C62BA5"/>
    <w:multiLevelType w:val="multilevel"/>
    <w:tmpl w:val="1DA80B9E"/>
    <w:lvl w:ilvl="0">
      <w:start w:val="3"/>
      <w:numFmt w:val="decimal"/>
      <w:lvlText w:val="%1."/>
      <w:lvlJc w:val="left"/>
      <w:pPr>
        <w:tabs>
          <w:tab w:val="num" w:pos="720"/>
        </w:tabs>
        <w:ind w:left="720" w:hanging="360"/>
      </w:pPr>
      <w:rPr>
        <w:rFonts w:ascii="Times New Roman" w:hAnsi="Times New Roman"/>
        <w:b/>
        <w:bCs/>
        <w:sz w:val="22"/>
        <w:szCs w:val="22"/>
      </w:rPr>
    </w:lvl>
    <w:lvl w:ilvl="1">
      <w:start w:val="1"/>
      <w:numFmt w:val="decimal"/>
      <w:lvlText w:val="%2."/>
      <w:lvlJc w:val="left"/>
      <w:pPr>
        <w:tabs>
          <w:tab w:val="num" w:pos="1080"/>
        </w:tabs>
        <w:ind w:left="1080" w:hanging="360"/>
      </w:pPr>
      <w:rPr>
        <w:rFonts w:ascii="Times New Roman" w:hAnsi="Times New Roman"/>
        <w:b/>
        <w:bCs/>
        <w:sz w:val="22"/>
        <w:szCs w:val="22"/>
      </w:rPr>
    </w:lvl>
    <w:lvl w:ilvl="2">
      <w:start w:val="1"/>
      <w:numFmt w:val="decimal"/>
      <w:lvlText w:val="%3."/>
      <w:lvlJc w:val="left"/>
      <w:pPr>
        <w:tabs>
          <w:tab w:val="num" w:pos="1440"/>
        </w:tabs>
        <w:ind w:left="1440" w:hanging="360"/>
      </w:pPr>
      <w:rPr>
        <w:rFonts w:ascii="Times New Roman" w:hAnsi="Times New Roman"/>
        <w:b/>
        <w:bCs/>
        <w:sz w:val="22"/>
        <w:szCs w:val="22"/>
      </w:rPr>
    </w:lvl>
    <w:lvl w:ilvl="3">
      <w:start w:val="1"/>
      <w:numFmt w:val="decimal"/>
      <w:lvlText w:val="%4."/>
      <w:lvlJc w:val="left"/>
      <w:pPr>
        <w:tabs>
          <w:tab w:val="num" w:pos="1800"/>
        </w:tabs>
        <w:ind w:left="1800" w:hanging="360"/>
      </w:pPr>
      <w:rPr>
        <w:rFonts w:ascii="Times New Roman" w:hAnsi="Times New Roman"/>
        <w:b/>
        <w:bCs/>
        <w:sz w:val="22"/>
        <w:szCs w:val="22"/>
      </w:rPr>
    </w:lvl>
    <w:lvl w:ilvl="4">
      <w:start w:val="1"/>
      <w:numFmt w:val="decimal"/>
      <w:lvlText w:val="%5."/>
      <w:lvlJc w:val="left"/>
      <w:pPr>
        <w:tabs>
          <w:tab w:val="num" w:pos="2160"/>
        </w:tabs>
        <w:ind w:left="2160" w:hanging="360"/>
      </w:pPr>
      <w:rPr>
        <w:rFonts w:ascii="Times New Roman" w:hAnsi="Times New Roman"/>
        <w:b/>
        <w:bCs/>
        <w:sz w:val="22"/>
        <w:szCs w:val="22"/>
      </w:rPr>
    </w:lvl>
    <w:lvl w:ilvl="5">
      <w:start w:val="1"/>
      <w:numFmt w:val="decimal"/>
      <w:lvlText w:val="%6."/>
      <w:lvlJc w:val="left"/>
      <w:pPr>
        <w:tabs>
          <w:tab w:val="num" w:pos="2520"/>
        </w:tabs>
        <w:ind w:left="2520" w:hanging="360"/>
      </w:pPr>
      <w:rPr>
        <w:rFonts w:ascii="Times New Roman" w:hAnsi="Times New Roman"/>
        <w:b/>
        <w:bCs/>
        <w:sz w:val="22"/>
        <w:szCs w:val="22"/>
      </w:rPr>
    </w:lvl>
    <w:lvl w:ilvl="6">
      <w:start w:val="1"/>
      <w:numFmt w:val="decimal"/>
      <w:lvlText w:val="%7."/>
      <w:lvlJc w:val="left"/>
      <w:pPr>
        <w:tabs>
          <w:tab w:val="num" w:pos="2880"/>
        </w:tabs>
        <w:ind w:left="2880" w:hanging="360"/>
      </w:pPr>
      <w:rPr>
        <w:rFonts w:ascii="Times New Roman" w:hAnsi="Times New Roman"/>
        <w:b/>
        <w:bCs/>
        <w:sz w:val="22"/>
        <w:szCs w:val="22"/>
      </w:rPr>
    </w:lvl>
    <w:lvl w:ilvl="7">
      <w:start w:val="1"/>
      <w:numFmt w:val="decimal"/>
      <w:lvlText w:val="%8."/>
      <w:lvlJc w:val="left"/>
      <w:pPr>
        <w:tabs>
          <w:tab w:val="num" w:pos="3240"/>
        </w:tabs>
        <w:ind w:left="3240" w:hanging="360"/>
      </w:pPr>
      <w:rPr>
        <w:rFonts w:ascii="Times New Roman" w:hAnsi="Times New Roman"/>
        <w:b/>
        <w:bCs/>
        <w:sz w:val="22"/>
        <w:szCs w:val="22"/>
      </w:rPr>
    </w:lvl>
    <w:lvl w:ilvl="8">
      <w:start w:val="1"/>
      <w:numFmt w:val="decimal"/>
      <w:lvlText w:val="%9."/>
      <w:lvlJc w:val="left"/>
      <w:pPr>
        <w:tabs>
          <w:tab w:val="num" w:pos="3600"/>
        </w:tabs>
        <w:ind w:left="3600" w:hanging="360"/>
      </w:pPr>
      <w:rPr>
        <w:rFonts w:ascii="Times New Roman" w:hAnsi="Times New Roman"/>
        <w:b/>
        <w:bCs/>
        <w:sz w:val="22"/>
        <w:szCs w:val="22"/>
      </w:rPr>
    </w:lvl>
  </w:abstractNum>
  <w:abstractNum w:abstractNumId="7">
    <w:nsid w:val="2D2229E9"/>
    <w:multiLevelType w:val="multilevel"/>
    <w:tmpl w:val="26F0506C"/>
    <w:lvl w:ilvl="0">
      <w:start w:val="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rPr>
        <w:b/>
      </w:rPr>
    </w:lvl>
    <w:lvl w:ilvl="5">
      <w:start w:val="1"/>
      <w:numFmt w:val="decimal"/>
      <w:lvlText w:val="%6."/>
      <w:lvlJc w:val="left"/>
      <w:pPr>
        <w:ind w:left="2520" w:hanging="360"/>
      </w:pPr>
      <w:rPr>
        <w:b/>
      </w:rPr>
    </w:lvl>
    <w:lvl w:ilvl="6">
      <w:start w:val="1"/>
      <w:numFmt w:val="decimal"/>
      <w:lvlText w:val="%7."/>
      <w:lvlJc w:val="left"/>
      <w:pPr>
        <w:ind w:left="2880" w:hanging="360"/>
      </w:pPr>
      <w:rPr>
        <w:b/>
      </w:rPr>
    </w:lvl>
    <w:lvl w:ilvl="7">
      <w:start w:val="1"/>
      <w:numFmt w:val="decimal"/>
      <w:lvlText w:val="%8."/>
      <w:lvlJc w:val="left"/>
      <w:pPr>
        <w:ind w:left="3240" w:hanging="360"/>
      </w:pPr>
      <w:rPr>
        <w:b/>
      </w:rPr>
    </w:lvl>
    <w:lvl w:ilvl="8">
      <w:start w:val="1"/>
      <w:numFmt w:val="decimal"/>
      <w:lvlText w:val="%9."/>
      <w:lvlJc w:val="left"/>
      <w:pPr>
        <w:ind w:left="3600" w:hanging="360"/>
      </w:pPr>
      <w:rPr>
        <w:b/>
      </w:rPr>
    </w:lvl>
  </w:abstractNum>
  <w:abstractNum w:abstractNumId="8">
    <w:nsid w:val="356F1158"/>
    <w:multiLevelType w:val="hybridMultilevel"/>
    <w:tmpl w:val="7382A2FE"/>
    <w:lvl w:ilvl="0" w:tplc="E118E810">
      <w:numFmt w:val="bullet"/>
      <w:lvlText w:val="-"/>
      <w:lvlJc w:val="left"/>
      <w:pPr>
        <w:ind w:left="720" w:hanging="360"/>
      </w:pPr>
      <w:rPr>
        <w:rFonts w:ascii="Times New Roman" w:eastAsia="N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04036B"/>
    <w:multiLevelType w:val="hybridMultilevel"/>
    <w:tmpl w:val="D27EA390"/>
    <w:lvl w:ilvl="0" w:tplc="585ACAF0">
      <w:numFmt w:val="bullet"/>
      <w:lvlText w:val="-"/>
      <w:lvlJc w:val="left"/>
      <w:pPr>
        <w:ind w:left="720" w:hanging="360"/>
      </w:pPr>
      <w:rPr>
        <w:rFonts w:ascii="Times New Roman" w:eastAsia="N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8D2031"/>
    <w:multiLevelType w:val="hybridMultilevel"/>
    <w:tmpl w:val="D12E6F46"/>
    <w:lvl w:ilvl="0" w:tplc="27B0D1CA">
      <w:numFmt w:val="bullet"/>
      <w:lvlText w:val="-"/>
      <w:lvlJc w:val="left"/>
      <w:pPr>
        <w:ind w:left="720" w:hanging="360"/>
      </w:pPr>
      <w:rPr>
        <w:rFonts w:ascii="Times New Roman" w:eastAsia="N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4139D4"/>
    <w:multiLevelType w:val="multilevel"/>
    <w:tmpl w:val="944CA3AA"/>
    <w:lvl w:ilvl="0">
      <w:start w:val="1"/>
      <w:numFmt w:val="decimal"/>
      <w:lvlText w:val="%1."/>
      <w:lvlJc w:val="left"/>
      <w:pPr>
        <w:tabs>
          <w:tab w:val="num" w:pos="720"/>
        </w:tabs>
        <w:ind w:left="720" w:hanging="360"/>
      </w:pPr>
      <w:rPr>
        <w:rFonts w:ascii="Times New Roman" w:hAnsi="Times New Roman"/>
        <w:b/>
        <w:bCs/>
        <w:sz w:val="22"/>
        <w:szCs w:val="22"/>
      </w:rPr>
    </w:lvl>
    <w:lvl w:ilvl="1">
      <w:start w:val="1"/>
      <w:numFmt w:val="decimal"/>
      <w:lvlText w:val="%2."/>
      <w:lvlJc w:val="left"/>
      <w:pPr>
        <w:tabs>
          <w:tab w:val="num" w:pos="1080"/>
        </w:tabs>
        <w:ind w:left="1080" w:hanging="360"/>
      </w:pPr>
      <w:rPr>
        <w:rFonts w:ascii="Times New Roman" w:hAnsi="Times New Roman"/>
        <w:b/>
        <w:bCs/>
        <w:sz w:val="22"/>
        <w:szCs w:val="22"/>
      </w:rPr>
    </w:lvl>
    <w:lvl w:ilvl="2">
      <w:start w:val="1"/>
      <w:numFmt w:val="decimal"/>
      <w:lvlText w:val="%3."/>
      <w:lvlJc w:val="left"/>
      <w:pPr>
        <w:tabs>
          <w:tab w:val="num" w:pos="1440"/>
        </w:tabs>
        <w:ind w:left="1440" w:hanging="360"/>
      </w:pPr>
      <w:rPr>
        <w:rFonts w:ascii="Times New Roman" w:hAnsi="Times New Roman"/>
        <w:b/>
        <w:bCs/>
        <w:sz w:val="22"/>
        <w:szCs w:val="22"/>
      </w:rPr>
    </w:lvl>
    <w:lvl w:ilvl="3">
      <w:start w:val="1"/>
      <w:numFmt w:val="decimal"/>
      <w:lvlText w:val="%4."/>
      <w:lvlJc w:val="left"/>
      <w:pPr>
        <w:tabs>
          <w:tab w:val="num" w:pos="1800"/>
        </w:tabs>
        <w:ind w:left="1800" w:hanging="360"/>
      </w:pPr>
      <w:rPr>
        <w:rFonts w:ascii="Times New Roman" w:hAnsi="Times New Roman"/>
        <w:b/>
        <w:bCs/>
        <w:sz w:val="22"/>
        <w:szCs w:val="22"/>
      </w:rPr>
    </w:lvl>
    <w:lvl w:ilvl="4">
      <w:start w:val="1"/>
      <w:numFmt w:val="decimal"/>
      <w:lvlText w:val="%5."/>
      <w:lvlJc w:val="left"/>
      <w:pPr>
        <w:tabs>
          <w:tab w:val="num" w:pos="2160"/>
        </w:tabs>
        <w:ind w:left="2160" w:hanging="360"/>
      </w:pPr>
      <w:rPr>
        <w:rFonts w:ascii="Times New Roman" w:hAnsi="Times New Roman"/>
        <w:b/>
        <w:bCs/>
        <w:sz w:val="22"/>
        <w:szCs w:val="22"/>
      </w:rPr>
    </w:lvl>
    <w:lvl w:ilvl="5">
      <w:start w:val="1"/>
      <w:numFmt w:val="decimal"/>
      <w:lvlText w:val="%6."/>
      <w:lvlJc w:val="left"/>
      <w:pPr>
        <w:tabs>
          <w:tab w:val="num" w:pos="2520"/>
        </w:tabs>
        <w:ind w:left="2520" w:hanging="360"/>
      </w:pPr>
      <w:rPr>
        <w:rFonts w:ascii="Times New Roman" w:hAnsi="Times New Roman"/>
        <w:b/>
        <w:bCs/>
        <w:sz w:val="22"/>
        <w:szCs w:val="22"/>
      </w:rPr>
    </w:lvl>
    <w:lvl w:ilvl="6">
      <w:start w:val="1"/>
      <w:numFmt w:val="decimal"/>
      <w:lvlText w:val="%7."/>
      <w:lvlJc w:val="left"/>
      <w:pPr>
        <w:tabs>
          <w:tab w:val="num" w:pos="2880"/>
        </w:tabs>
        <w:ind w:left="2880" w:hanging="360"/>
      </w:pPr>
      <w:rPr>
        <w:rFonts w:ascii="Times New Roman" w:hAnsi="Times New Roman"/>
        <w:b/>
        <w:bCs/>
        <w:sz w:val="22"/>
        <w:szCs w:val="22"/>
      </w:rPr>
    </w:lvl>
    <w:lvl w:ilvl="7">
      <w:start w:val="1"/>
      <w:numFmt w:val="decimal"/>
      <w:lvlText w:val="%8."/>
      <w:lvlJc w:val="left"/>
      <w:pPr>
        <w:tabs>
          <w:tab w:val="num" w:pos="3240"/>
        </w:tabs>
        <w:ind w:left="3240" w:hanging="360"/>
      </w:pPr>
      <w:rPr>
        <w:rFonts w:ascii="Times New Roman" w:hAnsi="Times New Roman"/>
        <w:b/>
        <w:bCs/>
        <w:sz w:val="22"/>
        <w:szCs w:val="22"/>
      </w:rPr>
    </w:lvl>
    <w:lvl w:ilvl="8">
      <w:start w:val="1"/>
      <w:numFmt w:val="decimal"/>
      <w:lvlText w:val="%9."/>
      <w:lvlJc w:val="left"/>
      <w:pPr>
        <w:tabs>
          <w:tab w:val="num" w:pos="3600"/>
        </w:tabs>
        <w:ind w:left="3600" w:hanging="360"/>
      </w:pPr>
      <w:rPr>
        <w:rFonts w:ascii="Times New Roman" w:hAnsi="Times New Roman"/>
        <w:b/>
        <w:bCs/>
        <w:sz w:val="22"/>
        <w:szCs w:val="22"/>
      </w:rPr>
    </w:lvl>
  </w:abstractNum>
  <w:abstractNum w:abstractNumId="12">
    <w:nsid w:val="5541707F"/>
    <w:multiLevelType w:val="hybridMultilevel"/>
    <w:tmpl w:val="20E2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F014EC"/>
    <w:multiLevelType w:val="multilevel"/>
    <w:tmpl w:val="B4661F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56F252A1"/>
    <w:multiLevelType w:val="multilevel"/>
    <w:tmpl w:val="6646EE9C"/>
    <w:lvl w:ilvl="0">
      <w:start w:val="4"/>
      <w:numFmt w:val="decimal"/>
      <w:lvlText w:val="%1."/>
      <w:lvlJc w:val="left"/>
      <w:pPr>
        <w:tabs>
          <w:tab w:val="num" w:pos="720"/>
        </w:tabs>
        <w:ind w:left="720" w:hanging="360"/>
      </w:pPr>
      <w:rPr>
        <w:rFonts w:ascii="Times New Roman" w:hAnsi="Times New Roman"/>
        <w:b/>
        <w:bCs/>
        <w:sz w:val="22"/>
        <w:szCs w:val="22"/>
      </w:rPr>
    </w:lvl>
    <w:lvl w:ilvl="1">
      <w:start w:val="1"/>
      <w:numFmt w:val="decimal"/>
      <w:lvlText w:val="%2."/>
      <w:lvlJc w:val="left"/>
      <w:pPr>
        <w:tabs>
          <w:tab w:val="num" w:pos="1080"/>
        </w:tabs>
        <w:ind w:left="1080" w:hanging="360"/>
      </w:pPr>
      <w:rPr>
        <w:rFonts w:ascii="Times New Roman" w:hAnsi="Times New Roman"/>
        <w:b/>
        <w:bCs/>
        <w:sz w:val="22"/>
        <w:szCs w:val="22"/>
      </w:rPr>
    </w:lvl>
    <w:lvl w:ilvl="2">
      <w:start w:val="1"/>
      <w:numFmt w:val="decimal"/>
      <w:lvlText w:val="%3."/>
      <w:lvlJc w:val="left"/>
      <w:pPr>
        <w:tabs>
          <w:tab w:val="num" w:pos="1440"/>
        </w:tabs>
        <w:ind w:left="1440" w:hanging="360"/>
      </w:pPr>
      <w:rPr>
        <w:rFonts w:ascii="Times New Roman" w:hAnsi="Times New Roman"/>
        <w:b/>
        <w:bCs/>
        <w:sz w:val="22"/>
        <w:szCs w:val="22"/>
      </w:rPr>
    </w:lvl>
    <w:lvl w:ilvl="3">
      <w:start w:val="1"/>
      <w:numFmt w:val="decimal"/>
      <w:lvlText w:val="%4."/>
      <w:lvlJc w:val="left"/>
      <w:pPr>
        <w:tabs>
          <w:tab w:val="num" w:pos="1800"/>
        </w:tabs>
        <w:ind w:left="1800" w:hanging="360"/>
      </w:pPr>
      <w:rPr>
        <w:rFonts w:ascii="Times New Roman" w:hAnsi="Times New Roman"/>
        <w:b/>
        <w:bCs/>
        <w:sz w:val="22"/>
        <w:szCs w:val="22"/>
      </w:rPr>
    </w:lvl>
    <w:lvl w:ilvl="4">
      <w:start w:val="1"/>
      <w:numFmt w:val="decimal"/>
      <w:lvlText w:val="%5."/>
      <w:lvlJc w:val="left"/>
      <w:pPr>
        <w:tabs>
          <w:tab w:val="num" w:pos="2160"/>
        </w:tabs>
        <w:ind w:left="2160" w:hanging="360"/>
      </w:pPr>
      <w:rPr>
        <w:rFonts w:ascii="Times New Roman" w:hAnsi="Times New Roman"/>
        <w:b/>
        <w:bCs/>
        <w:sz w:val="22"/>
        <w:szCs w:val="22"/>
      </w:rPr>
    </w:lvl>
    <w:lvl w:ilvl="5">
      <w:start w:val="1"/>
      <w:numFmt w:val="decimal"/>
      <w:lvlText w:val="%6."/>
      <w:lvlJc w:val="left"/>
      <w:pPr>
        <w:tabs>
          <w:tab w:val="num" w:pos="2520"/>
        </w:tabs>
        <w:ind w:left="2520" w:hanging="360"/>
      </w:pPr>
      <w:rPr>
        <w:rFonts w:ascii="Times New Roman" w:hAnsi="Times New Roman"/>
        <w:b/>
        <w:bCs/>
        <w:sz w:val="22"/>
        <w:szCs w:val="22"/>
      </w:rPr>
    </w:lvl>
    <w:lvl w:ilvl="6">
      <w:start w:val="1"/>
      <w:numFmt w:val="decimal"/>
      <w:lvlText w:val="%7."/>
      <w:lvlJc w:val="left"/>
      <w:pPr>
        <w:tabs>
          <w:tab w:val="num" w:pos="2880"/>
        </w:tabs>
        <w:ind w:left="2880" w:hanging="360"/>
      </w:pPr>
      <w:rPr>
        <w:rFonts w:ascii="Times New Roman" w:hAnsi="Times New Roman"/>
        <w:b/>
        <w:bCs/>
        <w:sz w:val="22"/>
        <w:szCs w:val="22"/>
      </w:rPr>
    </w:lvl>
    <w:lvl w:ilvl="7">
      <w:start w:val="1"/>
      <w:numFmt w:val="decimal"/>
      <w:lvlText w:val="%8."/>
      <w:lvlJc w:val="left"/>
      <w:pPr>
        <w:tabs>
          <w:tab w:val="num" w:pos="3240"/>
        </w:tabs>
        <w:ind w:left="3240" w:hanging="360"/>
      </w:pPr>
      <w:rPr>
        <w:rFonts w:ascii="Times New Roman" w:hAnsi="Times New Roman"/>
        <w:b/>
        <w:bCs/>
        <w:sz w:val="22"/>
        <w:szCs w:val="22"/>
      </w:rPr>
    </w:lvl>
    <w:lvl w:ilvl="8">
      <w:start w:val="1"/>
      <w:numFmt w:val="decimal"/>
      <w:lvlText w:val="%9."/>
      <w:lvlJc w:val="left"/>
      <w:pPr>
        <w:tabs>
          <w:tab w:val="num" w:pos="3600"/>
        </w:tabs>
        <w:ind w:left="3600" w:hanging="360"/>
      </w:pPr>
      <w:rPr>
        <w:rFonts w:ascii="Times New Roman" w:hAnsi="Times New Roman"/>
        <w:b/>
        <w:bCs/>
        <w:sz w:val="22"/>
        <w:szCs w:val="22"/>
      </w:rPr>
    </w:lvl>
  </w:abstractNum>
  <w:abstractNum w:abstractNumId="15">
    <w:nsid w:val="66994B5F"/>
    <w:multiLevelType w:val="multilevel"/>
    <w:tmpl w:val="86D29A5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nsid w:val="67C37A83"/>
    <w:multiLevelType w:val="hybridMultilevel"/>
    <w:tmpl w:val="0A78F93E"/>
    <w:lvl w:ilvl="0" w:tplc="32E0051A">
      <w:start w:val="11"/>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DA57A5"/>
    <w:multiLevelType w:val="multilevel"/>
    <w:tmpl w:val="2D989F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EE64BBB"/>
    <w:multiLevelType w:val="hybridMultilevel"/>
    <w:tmpl w:val="FD0680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70B8213A"/>
    <w:multiLevelType w:val="hybridMultilevel"/>
    <w:tmpl w:val="7B5E2F9E"/>
    <w:lvl w:ilvl="0" w:tplc="C43854F4">
      <w:numFmt w:val="bullet"/>
      <w:lvlText w:val="-"/>
      <w:lvlJc w:val="left"/>
      <w:pPr>
        <w:ind w:left="720" w:hanging="360"/>
      </w:pPr>
      <w:rPr>
        <w:rFonts w:ascii="Times New Roman" w:eastAsia="NSimSu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6B1BF0"/>
    <w:multiLevelType w:val="hybridMultilevel"/>
    <w:tmpl w:val="A00EA0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4009D8"/>
    <w:multiLevelType w:val="multilevel"/>
    <w:tmpl w:val="A96078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86C1521"/>
    <w:multiLevelType w:val="multilevel"/>
    <w:tmpl w:val="8A2AF1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8C7365E"/>
    <w:multiLevelType w:val="hybridMultilevel"/>
    <w:tmpl w:val="A6FA5C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5D560B"/>
    <w:multiLevelType w:val="multilevel"/>
    <w:tmpl w:val="4D4232B8"/>
    <w:lvl w:ilvl="0">
      <w:start w:val="5"/>
      <w:numFmt w:val="decimal"/>
      <w:lvlText w:val="%1."/>
      <w:lvlJc w:val="left"/>
      <w:pPr>
        <w:tabs>
          <w:tab w:val="num" w:pos="720"/>
        </w:tabs>
        <w:ind w:left="720" w:hanging="360"/>
      </w:pPr>
      <w:rPr>
        <w:rFonts w:ascii="Times New Roman" w:hAnsi="Times New Roman"/>
        <w:b/>
        <w:bCs/>
        <w:sz w:val="22"/>
        <w:szCs w:val="22"/>
      </w:rPr>
    </w:lvl>
    <w:lvl w:ilvl="1">
      <w:start w:val="1"/>
      <w:numFmt w:val="decimal"/>
      <w:lvlText w:val="%2."/>
      <w:lvlJc w:val="left"/>
      <w:pPr>
        <w:tabs>
          <w:tab w:val="num" w:pos="1080"/>
        </w:tabs>
        <w:ind w:left="1080" w:hanging="360"/>
      </w:pPr>
      <w:rPr>
        <w:rFonts w:ascii="Times New Roman" w:hAnsi="Times New Roman"/>
        <w:b/>
        <w:bCs/>
        <w:sz w:val="22"/>
        <w:szCs w:val="22"/>
      </w:rPr>
    </w:lvl>
    <w:lvl w:ilvl="2">
      <w:start w:val="1"/>
      <w:numFmt w:val="decimal"/>
      <w:lvlText w:val="%3."/>
      <w:lvlJc w:val="left"/>
      <w:pPr>
        <w:tabs>
          <w:tab w:val="num" w:pos="1440"/>
        </w:tabs>
        <w:ind w:left="1440" w:hanging="360"/>
      </w:pPr>
      <w:rPr>
        <w:rFonts w:ascii="Times New Roman" w:hAnsi="Times New Roman"/>
        <w:b/>
        <w:bCs/>
        <w:sz w:val="22"/>
        <w:szCs w:val="22"/>
      </w:rPr>
    </w:lvl>
    <w:lvl w:ilvl="3">
      <w:start w:val="1"/>
      <w:numFmt w:val="decimal"/>
      <w:lvlText w:val="%4."/>
      <w:lvlJc w:val="left"/>
      <w:pPr>
        <w:tabs>
          <w:tab w:val="num" w:pos="1800"/>
        </w:tabs>
        <w:ind w:left="1800" w:hanging="360"/>
      </w:pPr>
      <w:rPr>
        <w:rFonts w:ascii="Times New Roman" w:hAnsi="Times New Roman"/>
        <w:b/>
        <w:bCs/>
        <w:sz w:val="22"/>
        <w:szCs w:val="22"/>
      </w:rPr>
    </w:lvl>
    <w:lvl w:ilvl="4">
      <w:start w:val="1"/>
      <w:numFmt w:val="decimal"/>
      <w:lvlText w:val="%5."/>
      <w:lvlJc w:val="left"/>
      <w:pPr>
        <w:tabs>
          <w:tab w:val="num" w:pos="2160"/>
        </w:tabs>
        <w:ind w:left="2160" w:hanging="360"/>
      </w:pPr>
      <w:rPr>
        <w:rFonts w:ascii="Times New Roman" w:hAnsi="Times New Roman"/>
        <w:b/>
        <w:bCs/>
        <w:sz w:val="22"/>
        <w:szCs w:val="22"/>
      </w:rPr>
    </w:lvl>
    <w:lvl w:ilvl="5">
      <w:start w:val="1"/>
      <w:numFmt w:val="decimal"/>
      <w:lvlText w:val="%6."/>
      <w:lvlJc w:val="left"/>
      <w:pPr>
        <w:tabs>
          <w:tab w:val="num" w:pos="2520"/>
        </w:tabs>
        <w:ind w:left="2520" w:hanging="360"/>
      </w:pPr>
      <w:rPr>
        <w:rFonts w:ascii="Times New Roman" w:hAnsi="Times New Roman"/>
        <w:b/>
        <w:bCs/>
        <w:sz w:val="22"/>
        <w:szCs w:val="22"/>
      </w:rPr>
    </w:lvl>
    <w:lvl w:ilvl="6">
      <w:start w:val="1"/>
      <w:numFmt w:val="decimal"/>
      <w:lvlText w:val="%7."/>
      <w:lvlJc w:val="left"/>
      <w:pPr>
        <w:tabs>
          <w:tab w:val="num" w:pos="2880"/>
        </w:tabs>
        <w:ind w:left="2880" w:hanging="360"/>
      </w:pPr>
      <w:rPr>
        <w:rFonts w:ascii="Times New Roman" w:hAnsi="Times New Roman"/>
        <w:b/>
        <w:bCs/>
        <w:sz w:val="22"/>
        <w:szCs w:val="22"/>
      </w:rPr>
    </w:lvl>
    <w:lvl w:ilvl="7">
      <w:start w:val="1"/>
      <w:numFmt w:val="decimal"/>
      <w:lvlText w:val="%8."/>
      <w:lvlJc w:val="left"/>
      <w:pPr>
        <w:tabs>
          <w:tab w:val="num" w:pos="3240"/>
        </w:tabs>
        <w:ind w:left="3240" w:hanging="360"/>
      </w:pPr>
      <w:rPr>
        <w:rFonts w:ascii="Times New Roman" w:hAnsi="Times New Roman"/>
        <w:b/>
        <w:bCs/>
        <w:sz w:val="22"/>
        <w:szCs w:val="22"/>
      </w:rPr>
    </w:lvl>
    <w:lvl w:ilvl="8">
      <w:start w:val="1"/>
      <w:numFmt w:val="decimal"/>
      <w:lvlText w:val="%9."/>
      <w:lvlJc w:val="left"/>
      <w:pPr>
        <w:tabs>
          <w:tab w:val="num" w:pos="3600"/>
        </w:tabs>
        <w:ind w:left="3600" w:hanging="360"/>
      </w:pPr>
      <w:rPr>
        <w:rFonts w:ascii="Times New Roman" w:hAnsi="Times New Roman"/>
        <w:b/>
        <w:bCs/>
        <w:sz w:val="22"/>
        <w:szCs w:val="22"/>
      </w:rPr>
    </w:lvl>
  </w:abstractNum>
  <w:num w:numId="1">
    <w:abstractNumId w:val="1"/>
  </w:num>
  <w:num w:numId="2">
    <w:abstractNumId w:val="2"/>
  </w:num>
  <w:num w:numId="3">
    <w:abstractNumId w:val="22"/>
  </w:num>
  <w:num w:numId="4">
    <w:abstractNumId w:val="11"/>
  </w:num>
  <w:num w:numId="5">
    <w:abstractNumId w:val="13"/>
  </w:num>
  <w:num w:numId="6">
    <w:abstractNumId w:val="6"/>
  </w:num>
  <w:num w:numId="7">
    <w:abstractNumId w:val="17"/>
  </w:num>
  <w:num w:numId="8">
    <w:abstractNumId w:val="14"/>
  </w:num>
  <w:num w:numId="9">
    <w:abstractNumId w:val="21"/>
  </w:num>
  <w:num w:numId="10">
    <w:abstractNumId w:val="24"/>
  </w:num>
  <w:num w:numId="11">
    <w:abstractNumId w:val="15"/>
  </w:num>
  <w:num w:numId="12">
    <w:abstractNumId w:val="0"/>
  </w:num>
  <w:num w:numId="13">
    <w:abstractNumId w:val="7"/>
  </w:num>
  <w:num w:numId="14">
    <w:abstractNumId w:val="9"/>
  </w:num>
  <w:num w:numId="15">
    <w:abstractNumId w:val="19"/>
  </w:num>
  <w:num w:numId="16">
    <w:abstractNumId w:val="10"/>
  </w:num>
  <w:num w:numId="17">
    <w:abstractNumId w:val="8"/>
  </w:num>
  <w:num w:numId="18">
    <w:abstractNumId w:val="5"/>
  </w:num>
  <w:num w:numId="19">
    <w:abstractNumId w:val="16"/>
  </w:num>
  <w:num w:numId="20">
    <w:abstractNumId w:val="18"/>
  </w:num>
  <w:num w:numId="21">
    <w:abstractNumId w:val="23"/>
  </w:num>
  <w:num w:numId="22">
    <w:abstractNumId w:val="12"/>
  </w:num>
  <w:num w:numId="23">
    <w:abstractNumId w:val="3"/>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defaultTabStop w:val="709"/>
  <w:autoHyphenation/>
  <w:hyphenationZone w:val="283"/>
  <w:characterSpacingControl w:val="doNotCompress"/>
  <w:hdrShapeDefaults>
    <o:shapedefaults v:ext="edit" spidmax="4098"/>
  </w:hdrShapeDefaults>
  <w:footnotePr>
    <w:pos w:val="beneathText"/>
    <w:footnote w:id="-1"/>
    <w:footnote w:id="0"/>
  </w:footnotePr>
  <w:endnotePr>
    <w:endnote w:id="-1"/>
    <w:endnote w:id="0"/>
  </w:endnotePr>
  <w:compat>
    <w:useFELayout/>
  </w:compat>
  <w:rsids>
    <w:rsidRoot w:val="004342A8"/>
    <w:rsid w:val="000126DE"/>
    <w:rsid w:val="00022468"/>
    <w:rsid w:val="00044932"/>
    <w:rsid w:val="000613DF"/>
    <w:rsid w:val="00067E33"/>
    <w:rsid w:val="00095137"/>
    <w:rsid w:val="000A7B67"/>
    <w:rsid w:val="000B6056"/>
    <w:rsid w:val="000B7D85"/>
    <w:rsid w:val="000C2D4F"/>
    <w:rsid w:val="000D5328"/>
    <w:rsid w:val="000F15CE"/>
    <w:rsid w:val="00100E58"/>
    <w:rsid w:val="0012422C"/>
    <w:rsid w:val="00147664"/>
    <w:rsid w:val="0017181F"/>
    <w:rsid w:val="00186926"/>
    <w:rsid w:val="00197DBB"/>
    <w:rsid w:val="001B37DC"/>
    <w:rsid w:val="001B71AF"/>
    <w:rsid w:val="001C6BCC"/>
    <w:rsid w:val="001E13EB"/>
    <w:rsid w:val="00224855"/>
    <w:rsid w:val="002374F1"/>
    <w:rsid w:val="00260E96"/>
    <w:rsid w:val="00270793"/>
    <w:rsid w:val="0028215E"/>
    <w:rsid w:val="002912B5"/>
    <w:rsid w:val="00293D11"/>
    <w:rsid w:val="00295BE2"/>
    <w:rsid w:val="002A1C9A"/>
    <w:rsid w:val="002B0522"/>
    <w:rsid w:val="002B52AA"/>
    <w:rsid w:val="002C5455"/>
    <w:rsid w:val="002D2D83"/>
    <w:rsid w:val="002D5E9A"/>
    <w:rsid w:val="002E1DD0"/>
    <w:rsid w:val="002E2D95"/>
    <w:rsid w:val="00304EB8"/>
    <w:rsid w:val="00331E66"/>
    <w:rsid w:val="00340A44"/>
    <w:rsid w:val="00343223"/>
    <w:rsid w:val="00347761"/>
    <w:rsid w:val="0037469E"/>
    <w:rsid w:val="00391C71"/>
    <w:rsid w:val="003A67D2"/>
    <w:rsid w:val="003B282D"/>
    <w:rsid w:val="003C2C41"/>
    <w:rsid w:val="003C2E10"/>
    <w:rsid w:val="003C3BE4"/>
    <w:rsid w:val="003C445D"/>
    <w:rsid w:val="00401A9C"/>
    <w:rsid w:val="0040645F"/>
    <w:rsid w:val="00406ECE"/>
    <w:rsid w:val="00411110"/>
    <w:rsid w:val="004219B5"/>
    <w:rsid w:val="0042465D"/>
    <w:rsid w:val="00431D72"/>
    <w:rsid w:val="004342A8"/>
    <w:rsid w:val="004759B7"/>
    <w:rsid w:val="00483B4B"/>
    <w:rsid w:val="004A79C2"/>
    <w:rsid w:val="004D2B8A"/>
    <w:rsid w:val="004D68CA"/>
    <w:rsid w:val="004D724D"/>
    <w:rsid w:val="004E26B7"/>
    <w:rsid w:val="004E5EC3"/>
    <w:rsid w:val="004E678C"/>
    <w:rsid w:val="004E72D3"/>
    <w:rsid w:val="004E7B92"/>
    <w:rsid w:val="004E7DF9"/>
    <w:rsid w:val="004F304F"/>
    <w:rsid w:val="005008C0"/>
    <w:rsid w:val="00501DFA"/>
    <w:rsid w:val="00502822"/>
    <w:rsid w:val="005043AF"/>
    <w:rsid w:val="00530A86"/>
    <w:rsid w:val="00543C64"/>
    <w:rsid w:val="00544E6A"/>
    <w:rsid w:val="00544F20"/>
    <w:rsid w:val="00561A72"/>
    <w:rsid w:val="00571FE5"/>
    <w:rsid w:val="005D1854"/>
    <w:rsid w:val="005D6A0B"/>
    <w:rsid w:val="005E215E"/>
    <w:rsid w:val="005E4085"/>
    <w:rsid w:val="005F5BA6"/>
    <w:rsid w:val="00604A8C"/>
    <w:rsid w:val="0064622B"/>
    <w:rsid w:val="00663953"/>
    <w:rsid w:val="006708A2"/>
    <w:rsid w:val="0068183B"/>
    <w:rsid w:val="00684127"/>
    <w:rsid w:val="00690064"/>
    <w:rsid w:val="00691B47"/>
    <w:rsid w:val="006A57CB"/>
    <w:rsid w:val="006B602D"/>
    <w:rsid w:val="006E0149"/>
    <w:rsid w:val="006E0AF1"/>
    <w:rsid w:val="006F4E28"/>
    <w:rsid w:val="006F56E7"/>
    <w:rsid w:val="006F7DB1"/>
    <w:rsid w:val="00701D04"/>
    <w:rsid w:val="00702107"/>
    <w:rsid w:val="00717A54"/>
    <w:rsid w:val="00721E3D"/>
    <w:rsid w:val="007472EA"/>
    <w:rsid w:val="00766B5B"/>
    <w:rsid w:val="00767E00"/>
    <w:rsid w:val="00773AAC"/>
    <w:rsid w:val="00786D87"/>
    <w:rsid w:val="007A0067"/>
    <w:rsid w:val="007A4FD7"/>
    <w:rsid w:val="007C6C16"/>
    <w:rsid w:val="007C6FDB"/>
    <w:rsid w:val="007D3280"/>
    <w:rsid w:val="007E426B"/>
    <w:rsid w:val="00800630"/>
    <w:rsid w:val="00800730"/>
    <w:rsid w:val="0081347C"/>
    <w:rsid w:val="00822164"/>
    <w:rsid w:val="00827AE0"/>
    <w:rsid w:val="008302D1"/>
    <w:rsid w:val="00836A40"/>
    <w:rsid w:val="008951A6"/>
    <w:rsid w:val="00896114"/>
    <w:rsid w:val="008D065E"/>
    <w:rsid w:val="008D3E3A"/>
    <w:rsid w:val="008F0173"/>
    <w:rsid w:val="0094199A"/>
    <w:rsid w:val="0094578E"/>
    <w:rsid w:val="00954161"/>
    <w:rsid w:val="00963D2B"/>
    <w:rsid w:val="00984CA1"/>
    <w:rsid w:val="00995292"/>
    <w:rsid w:val="009968C5"/>
    <w:rsid w:val="009C1A2D"/>
    <w:rsid w:val="009D1AE5"/>
    <w:rsid w:val="009D58C1"/>
    <w:rsid w:val="009E6C29"/>
    <w:rsid w:val="00A0556C"/>
    <w:rsid w:val="00A05CBA"/>
    <w:rsid w:val="00A064B8"/>
    <w:rsid w:val="00A348EE"/>
    <w:rsid w:val="00A50F85"/>
    <w:rsid w:val="00A52157"/>
    <w:rsid w:val="00A7138F"/>
    <w:rsid w:val="00A722D0"/>
    <w:rsid w:val="00A7507F"/>
    <w:rsid w:val="00A84741"/>
    <w:rsid w:val="00AB5E28"/>
    <w:rsid w:val="00AB7446"/>
    <w:rsid w:val="00AC76A2"/>
    <w:rsid w:val="00AD5F12"/>
    <w:rsid w:val="00AD76F3"/>
    <w:rsid w:val="00B011C5"/>
    <w:rsid w:val="00B158FD"/>
    <w:rsid w:val="00B37609"/>
    <w:rsid w:val="00B50628"/>
    <w:rsid w:val="00B8174A"/>
    <w:rsid w:val="00B825AC"/>
    <w:rsid w:val="00BA0F20"/>
    <w:rsid w:val="00BA1FD9"/>
    <w:rsid w:val="00BA2640"/>
    <w:rsid w:val="00BC5C18"/>
    <w:rsid w:val="00BE45E5"/>
    <w:rsid w:val="00BE77CB"/>
    <w:rsid w:val="00C067F0"/>
    <w:rsid w:val="00C2220C"/>
    <w:rsid w:val="00C50E33"/>
    <w:rsid w:val="00C55324"/>
    <w:rsid w:val="00C67E61"/>
    <w:rsid w:val="00C7127C"/>
    <w:rsid w:val="00C76CA5"/>
    <w:rsid w:val="00C86B8B"/>
    <w:rsid w:val="00CA008A"/>
    <w:rsid w:val="00CD3EBC"/>
    <w:rsid w:val="00CE6381"/>
    <w:rsid w:val="00CF1358"/>
    <w:rsid w:val="00CF2A9E"/>
    <w:rsid w:val="00D430C3"/>
    <w:rsid w:val="00D47F1F"/>
    <w:rsid w:val="00D77C06"/>
    <w:rsid w:val="00D85BA9"/>
    <w:rsid w:val="00D9297A"/>
    <w:rsid w:val="00D96F7D"/>
    <w:rsid w:val="00DA29A6"/>
    <w:rsid w:val="00DC3CF6"/>
    <w:rsid w:val="00DD10DD"/>
    <w:rsid w:val="00DF60F0"/>
    <w:rsid w:val="00E018ED"/>
    <w:rsid w:val="00E235E8"/>
    <w:rsid w:val="00E557FB"/>
    <w:rsid w:val="00E66A69"/>
    <w:rsid w:val="00E70FE1"/>
    <w:rsid w:val="00E73E6A"/>
    <w:rsid w:val="00E76D57"/>
    <w:rsid w:val="00E84548"/>
    <w:rsid w:val="00E91834"/>
    <w:rsid w:val="00EA22A9"/>
    <w:rsid w:val="00EA2DB9"/>
    <w:rsid w:val="00EC10E2"/>
    <w:rsid w:val="00EC18EE"/>
    <w:rsid w:val="00F15064"/>
    <w:rsid w:val="00F17853"/>
    <w:rsid w:val="00F25BD5"/>
    <w:rsid w:val="00F27CEE"/>
    <w:rsid w:val="00F30DF7"/>
    <w:rsid w:val="00F66852"/>
    <w:rsid w:val="00FB26B7"/>
    <w:rsid w:val="00FB26FE"/>
    <w:rsid w:val="00FD0509"/>
    <w:rsid w:val="00FD26DB"/>
    <w:rsid w:val="00FE3B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137"/>
  </w:style>
  <w:style w:type="paragraph" w:styleId="Titolo1">
    <w:name w:val="heading 1"/>
    <w:basedOn w:val="Normale"/>
    <w:next w:val="Normale"/>
    <w:link w:val="Titolo1Carattere"/>
    <w:uiPriority w:val="9"/>
    <w:qFormat/>
    <w:rsid w:val="00022468"/>
    <w:pPr>
      <w:keepNext/>
      <w:keepLines/>
      <w:spacing w:before="240"/>
      <w:outlineLvl w:val="0"/>
    </w:pPr>
    <w:rPr>
      <w:rFonts w:asciiTheme="majorHAnsi" w:eastAsiaTheme="majorEastAsia" w:hAnsiTheme="majorHAnsi" w:cs="Mangal"/>
      <w:color w:val="117A02"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7z0">
    <w:name w:val="WW8Num7z0"/>
    <w:qFormat/>
    <w:rsid w:val="00C67E61"/>
    <w:rPr>
      <w:rFonts w:ascii="Symbol" w:hAnsi="Symbol" w:cs="Symbol"/>
    </w:rPr>
  </w:style>
  <w:style w:type="character" w:customStyle="1" w:styleId="WW8Num7z1">
    <w:name w:val="WW8Num7z1"/>
    <w:qFormat/>
    <w:rsid w:val="00C67E61"/>
    <w:rPr>
      <w:rFonts w:ascii="Courier New" w:hAnsi="Courier New" w:cs="Courier New"/>
    </w:rPr>
  </w:style>
  <w:style w:type="character" w:customStyle="1" w:styleId="WW8Num7z2">
    <w:name w:val="WW8Num7z2"/>
    <w:qFormat/>
    <w:rsid w:val="00C67E61"/>
    <w:rPr>
      <w:rFonts w:ascii="Wingdings" w:hAnsi="Wingdings" w:cs="Wingdings"/>
    </w:rPr>
  </w:style>
  <w:style w:type="character" w:customStyle="1" w:styleId="Punti">
    <w:name w:val="Punti"/>
    <w:qFormat/>
    <w:rsid w:val="00C67E61"/>
    <w:rPr>
      <w:rFonts w:ascii="OpenSymbol" w:eastAsia="OpenSymbol" w:hAnsi="OpenSymbol" w:cs="OpenSymbol"/>
    </w:rPr>
  </w:style>
  <w:style w:type="character" w:customStyle="1" w:styleId="Nessuno">
    <w:name w:val="Nessuno"/>
    <w:qFormat/>
    <w:rsid w:val="00C67E61"/>
  </w:style>
  <w:style w:type="character" w:customStyle="1" w:styleId="Caratteridinumerazione">
    <w:name w:val="Caratteri di numerazione"/>
    <w:qFormat/>
    <w:rsid w:val="00C67E61"/>
    <w:rPr>
      <w:rFonts w:ascii="Times New Roman" w:hAnsi="Times New Roman"/>
      <w:b/>
      <w:bCs/>
      <w:sz w:val="22"/>
      <w:szCs w:val="22"/>
    </w:rPr>
  </w:style>
  <w:style w:type="paragraph" w:styleId="Titolo">
    <w:name w:val="Title"/>
    <w:basedOn w:val="Normale"/>
    <w:next w:val="Corpodeltesto"/>
    <w:uiPriority w:val="10"/>
    <w:qFormat/>
    <w:rsid w:val="00C67E61"/>
    <w:pPr>
      <w:keepNext/>
      <w:spacing w:before="240" w:after="120"/>
    </w:pPr>
    <w:rPr>
      <w:rFonts w:ascii="Liberation Sans" w:eastAsia="Microsoft YaHei" w:hAnsi="Liberation Sans"/>
      <w:sz w:val="28"/>
      <w:szCs w:val="28"/>
    </w:rPr>
  </w:style>
  <w:style w:type="paragraph" w:styleId="Corpodeltesto">
    <w:name w:val="Body Text"/>
    <w:basedOn w:val="Normale"/>
    <w:rsid w:val="00C67E61"/>
    <w:pPr>
      <w:spacing w:after="140" w:line="276" w:lineRule="auto"/>
    </w:pPr>
  </w:style>
  <w:style w:type="paragraph" w:styleId="Elenco">
    <w:name w:val="List"/>
    <w:basedOn w:val="Corpodeltesto"/>
    <w:rsid w:val="00C67E61"/>
  </w:style>
  <w:style w:type="paragraph" w:styleId="Didascalia">
    <w:name w:val="caption"/>
    <w:basedOn w:val="Normale"/>
    <w:qFormat/>
    <w:rsid w:val="00C67E61"/>
    <w:pPr>
      <w:suppressLineNumbers/>
      <w:spacing w:before="120" w:after="120"/>
    </w:pPr>
    <w:rPr>
      <w:i/>
      <w:iCs/>
    </w:rPr>
  </w:style>
  <w:style w:type="paragraph" w:customStyle="1" w:styleId="Indice">
    <w:name w:val="Indice"/>
    <w:basedOn w:val="Normale"/>
    <w:qFormat/>
    <w:rsid w:val="00C67E61"/>
    <w:pPr>
      <w:suppressLineNumbers/>
    </w:pPr>
  </w:style>
  <w:style w:type="paragraph" w:customStyle="1" w:styleId="Normale1">
    <w:name w:val="Normale1"/>
    <w:qFormat/>
    <w:rsid w:val="00C67E61"/>
    <w:pPr>
      <w:widowControl w:val="0"/>
      <w:jc w:val="both"/>
    </w:pPr>
    <w:rPr>
      <w:rFonts w:ascii="Times New Roman" w:eastAsia="Times New Roman" w:hAnsi="Times New Roman" w:cs="Times New Roman"/>
      <w:color w:val="000000"/>
      <w:kern w:val="0"/>
      <w:lang w:eastAsia="it-IT" w:bidi="ar-SA"/>
    </w:rPr>
  </w:style>
  <w:style w:type="paragraph" w:customStyle="1" w:styleId="Intestazioneepidipagina">
    <w:name w:val="Intestazione e piè di pagina"/>
    <w:basedOn w:val="Normale"/>
    <w:qFormat/>
    <w:rsid w:val="00C67E61"/>
    <w:pPr>
      <w:suppressLineNumbers/>
      <w:tabs>
        <w:tab w:val="center" w:pos="4819"/>
        <w:tab w:val="right" w:pos="9638"/>
      </w:tabs>
    </w:pPr>
  </w:style>
  <w:style w:type="paragraph" w:styleId="Pidipagina">
    <w:name w:val="footer"/>
    <w:basedOn w:val="Intestazioneepidipagina"/>
    <w:rsid w:val="00C67E61"/>
  </w:style>
  <w:style w:type="paragraph" w:customStyle="1" w:styleId="NormaleWeb1">
    <w:name w:val="Normale (Web)1"/>
    <w:qFormat/>
    <w:rsid w:val="00C67E61"/>
    <w:pPr>
      <w:spacing w:before="100" w:after="119"/>
    </w:pPr>
    <w:rPr>
      <w:rFonts w:ascii="Times New Roman" w:eastAsia="Arial Unicode MS" w:hAnsi="Times New Roman" w:cs="Arial Unicode MS"/>
      <w:color w:val="000000"/>
      <w:kern w:val="0"/>
      <w:lang w:eastAsia="it-IT" w:bidi="ar-SA"/>
    </w:rPr>
  </w:style>
  <w:style w:type="paragraph" w:customStyle="1" w:styleId="Contenutotabella">
    <w:name w:val="Contenuto tabella"/>
    <w:basedOn w:val="Normale"/>
    <w:qFormat/>
    <w:rsid w:val="00C67E61"/>
    <w:pPr>
      <w:widowControl w:val="0"/>
      <w:suppressLineNumbers/>
    </w:pPr>
  </w:style>
  <w:style w:type="paragraph" w:styleId="Intestazione">
    <w:name w:val="header"/>
    <w:basedOn w:val="Intestazioneepidipagina"/>
    <w:rsid w:val="00C67E61"/>
  </w:style>
  <w:style w:type="numbering" w:customStyle="1" w:styleId="WW8Num7">
    <w:name w:val="WW8Num7"/>
    <w:qFormat/>
    <w:rsid w:val="00C67E61"/>
  </w:style>
  <w:style w:type="character" w:customStyle="1" w:styleId="Titolo1Carattere">
    <w:name w:val="Titolo 1 Carattere"/>
    <w:basedOn w:val="Carpredefinitoparagrafo"/>
    <w:link w:val="Titolo1"/>
    <w:uiPriority w:val="9"/>
    <w:rsid w:val="00022468"/>
    <w:rPr>
      <w:rFonts w:asciiTheme="majorHAnsi" w:eastAsiaTheme="majorEastAsia" w:hAnsiTheme="majorHAnsi" w:cs="Mangal"/>
      <w:color w:val="117A02" w:themeColor="accent1" w:themeShade="BF"/>
      <w:sz w:val="32"/>
      <w:szCs w:val="29"/>
    </w:rPr>
  </w:style>
  <w:style w:type="paragraph" w:styleId="Paragrafoelenco">
    <w:name w:val="List Paragraph"/>
    <w:aliases w:val="Lettre d'introduction,List Paragraph1,1st level - Bullet List Paragraph,Medium Grid 1 - Accent 21,Normal bullet 2,Bullet list,Numbered List"/>
    <w:basedOn w:val="Normale"/>
    <w:link w:val="ParagrafoelencoCarattere"/>
    <w:uiPriority w:val="1"/>
    <w:qFormat/>
    <w:rsid w:val="0094199A"/>
    <w:pPr>
      <w:ind w:left="720"/>
      <w:contextualSpacing/>
    </w:pPr>
    <w:rPr>
      <w:rFonts w:cs="Mangal"/>
      <w:szCs w:val="21"/>
    </w:rPr>
  </w:style>
  <w:style w:type="table" w:styleId="Grigliatabella">
    <w:name w:val="Table Grid"/>
    <w:basedOn w:val="Tabellanormale"/>
    <w:uiPriority w:val="39"/>
    <w:rsid w:val="00963D2B"/>
    <w:pPr>
      <w:suppressAutoHyphens w:val="0"/>
    </w:pPr>
    <w:rPr>
      <w:rFonts w:asciiTheme="minorHAnsi" w:eastAsia="Calibr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963D2B"/>
    <w:pPr>
      <w:suppressAutoHyphens w:val="0"/>
    </w:pPr>
    <w:rPr>
      <w:rFonts w:asciiTheme="minorHAnsi" w:eastAsiaTheme="minorEastAsia" w:hAnsiTheme="minorHAnsi" w:cstheme="minorBidi"/>
      <w:kern w:val="0"/>
      <w:sz w:val="20"/>
      <w:szCs w:val="20"/>
      <w:lang w:eastAsia="it-IT" w:bidi="ar-SA"/>
    </w:rPr>
  </w:style>
  <w:style w:type="character" w:customStyle="1" w:styleId="TestonotaapidipaginaCarattere">
    <w:name w:val="Testo nota a piè di pagina Carattere"/>
    <w:basedOn w:val="Carpredefinitoparagrafo"/>
    <w:link w:val="Testonotaapidipagina"/>
    <w:qFormat/>
    <w:rsid w:val="00963D2B"/>
    <w:rPr>
      <w:rFonts w:asciiTheme="minorHAnsi" w:eastAsiaTheme="minorEastAsia" w:hAnsiTheme="minorHAnsi" w:cstheme="minorBidi"/>
      <w:kern w:val="0"/>
      <w:sz w:val="20"/>
      <w:szCs w:val="20"/>
      <w:lang w:eastAsia="it-IT" w:bidi="ar-SA"/>
    </w:rPr>
  </w:style>
  <w:style w:type="character" w:styleId="Rimandonotaapidipagina">
    <w:name w:val="footnote reference"/>
    <w:basedOn w:val="Carpredefinitoparagrafo"/>
    <w:unhideWhenUsed/>
    <w:rsid w:val="00963D2B"/>
    <w:rPr>
      <w:vertAlign w:val="superscript"/>
    </w:rPr>
  </w:style>
  <w:style w:type="paragraph" w:styleId="Testonotadichiusura">
    <w:name w:val="endnote text"/>
    <w:basedOn w:val="Normale"/>
    <w:link w:val="TestonotadichiusuraCarattere"/>
    <w:uiPriority w:val="99"/>
    <w:semiHidden/>
    <w:unhideWhenUsed/>
    <w:rsid w:val="00702107"/>
    <w:rPr>
      <w:rFonts w:cs="Mangal"/>
      <w:sz w:val="20"/>
      <w:szCs w:val="18"/>
    </w:rPr>
  </w:style>
  <w:style w:type="character" w:customStyle="1" w:styleId="TestonotadichiusuraCarattere">
    <w:name w:val="Testo nota di chiusura Carattere"/>
    <w:basedOn w:val="Carpredefinitoparagrafo"/>
    <w:link w:val="Testonotadichiusura"/>
    <w:uiPriority w:val="99"/>
    <w:semiHidden/>
    <w:rsid w:val="00702107"/>
    <w:rPr>
      <w:rFonts w:cs="Mangal"/>
      <w:sz w:val="20"/>
      <w:szCs w:val="18"/>
    </w:rPr>
  </w:style>
  <w:style w:type="character" w:styleId="Rimandonotadichiusura">
    <w:name w:val="endnote reference"/>
    <w:basedOn w:val="Carpredefinitoparagrafo"/>
    <w:uiPriority w:val="99"/>
    <w:semiHidden/>
    <w:unhideWhenUsed/>
    <w:rsid w:val="00702107"/>
    <w:rPr>
      <w:vertAlign w:val="superscript"/>
    </w:rPr>
  </w:style>
  <w:style w:type="paragraph" w:customStyle="1" w:styleId="Default">
    <w:name w:val="Default"/>
    <w:rsid w:val="005F5BA6"/>
    <w:pPr>
      <w:suppressAutoHyphens w:val="0"/>
      <w:autoSpaceDE w:val="0"/>
      <w:autoSpaceDN w:val="0"/>
      <w:adjustRightInd w:val="0"/>
    </w:pPr>
    <w:rPr>
      <w:rFonts w:ascii="Arial" w:hAnsi="Arial"/>
      <w:color w:val="000000"/>
      <w:kern w:val="0"/>
      <w:lang w:bidi="ar-SA"/>
    </w:rPr>
  </w:style>
  <w:style w:type="character" w:customStyle="1" w:styleId="ParagrafoelencoCarattere">
    <w:name w:val="Paragrafo elenco Carattere"/>
    <w:aliases w:val="Lettre d'introduction Carattere,List Paragraph1 Carattere,1st level - Bullet List Paragraph Carattere,Medium Grid 1 - Accent 21 Carattere,Normal bullet 2 Carattere,Bullet list Carattere,Numbered List Carattere"/>
    <w:link w:val="Paragrafoelenco"/>
    <w:locked/>
    <w:rsid w:val="00F27CEE"/>
    <w:rPr>
      <w:rFonts w:cs="Mangal"/>
      <w:szCs w:val="21"/>
    </w:rPr>
  </w:style>
</w:styles>
</file>

<file path=word/webSettings.xml><?xml version="1.0" encoding="utf-8"?>
<w:webSettings xmlns:r="http://schemas.openxmlformats.org/officeDocument/2006/relationships" xmlns:w="http://schemas.openxmlformats.org/wordprocessingml/2006/main">
  <w:divs>
    <w:div w:id="24033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7609-774F-41E0-AA0E-0DC4CE8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9641</Words>
  <Characters>54957</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Valentino</dc:creator>
  <cp:lastModifiedBy>Utente</cp:lastModifiedBy>
  <cp:revision>2</cp:revision>
  <cp:lastPrinted>2024-04-17T15:02:00Z</cp:lastPrinted>
  <dcterms:created xsi:type="dcterms:W3CDTF">2024-04-17T17:30:00Z</dcterms:created>
  <dcterms:modified xsi:type="dcterms:W3CDTF">2024-04-17T17:30:00Z</dcterms:modified>
  <dc:language>it-IT</dc:language>
</cp:coreProperties>
</file>